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4F71" w14:textId="1A1798E5" w:rsidR="00646177" w:rsidRPr="00483A61" w:rsidRDefault="00234B2C" w:rsidP="00483A61">
      <w:pPr>
        <w:spacing w:after="0"/>
        <w:jc w:val="center"/>
        <w:rPr>
          <w:b/>
          <w:sz w:val="32"/>
        </w:rPr>
      </w:pPr>
      <w:r>
        <w:rPr>
          <w:b/>
          <w:sz w:val="32"/>
        </w:rPr>
        <w:t xml:space="preserve">Import och användningsregister </w:t>
      </w:r>
      <w:bookmarkStart w:id="0" w:name="_GoBack"/>
      <w:bookmarkEnd w:id="0"/>
      <w:r w:rsidRPr="00234B2C">
        <w:rPr>
          <w:b/>
          <w:sz w:val="32"/>
        </w:rPr>
        <w:t>av biologiska prover</w:t>
      </w:r>
      <w:r w:rsidR="00080EA7">
        <w:rPr>
          <w:b/>
          <w:sz w:val="32"/>
        </w:rPr>
        <w:t xml:space="preserve"> </w:t>
      </w:r>
      <w:r w:rsidRPr="00234B2C">
        <w:rPr>
          <w:b/>
          <w:sz w:val="32"/>
        </w:rPr>
        <w:t>för forskning</w:t>
      </w:r>
      <w:r w:rsidR="009A7FF9">
        <w:rPr>
          <w:b/>
          <w:sz w:val="32"/>
        </w:rPr>
        <w:t xml:space="preserve">, </w:t>
      </w:r>
      <w:r w:rsidRPr="00234B2C">
        <w:rPr>
          <w:b/>
          <w:sz w:val="32"/>
        </w:rPr>
        <w:t>utbildning</w:t>
      </w:r>
      <w:r w:rsidR="009A7FF9">
        <w:rPr>
          <w:b/>
          <w:sz w:val="32"/>
        </w:rPr>
        <w:t>, och diagnostik</w:t>
      </w:r>
    </w:p>
    <w:p w14:paraId="783C481D" w14:textId="3137B30C" w:rsidR="006E405E" w:rsidRDefault="002C7F08" w:rsidP="001D0461">
      <w:pPr>
        <w:spacing w:after="0"/>
      </w:pPr>
      <w:r>
        <w:t>I</w:t>
      </w:r>
      <w:r w:rsidR="00D27855">
        <w:t>mport</w:t>
      </w:r>
      <w:r>
        <w:t xml:space="preserve"> och användning av </w:t>
      </w:r>
      <w:r w:rsidRPr="001D0475">
        <w:t>animaliska biprodukter</w:t>
      </w:r>
      <w:r>
        <w:t xml:space="preserve">, </w:t>
      </w:r>
      <w:r>
        <w:t xml:space="preserve">samt </w:t>
      </w:r>
      <w:r>
        <w:t xml:space="preserve">djurens smittämnen </w:t>
      </w:r>
      <w:r>
        <w:t xml:space="preserve">inom </w:t>
      </w:r>
      <w:r>
        <w:t>forskning</w:t>
      </w:r>
      <w:r>
        <w:t xml:space="preserve">, </w:t>
      </w:r>
      <w:r>
        <w:t>utbildning</w:t>
      </w:r>
      <w:r>
        <w:t xml:space="preserve">, och diagnostik är tillståndspliktigt, och </w:t>
      </w:r>
      <w:r w:rsidR="00D27855">
        <w:t>ha</w:t>
      </w:r>
      <w:r w:rsidR="00AF7EAA">
        <w:t>nteras ofta</w:t>
      </w:r>
      <w:r w:rsidR="002751B2">
        <w:t>st</w:t>
      </w:r>
      <w:r w:rsidR="00AF7EAA">
        <w:t xml:space="preserve"> av Jordbruksverket. F</w:t>
      </w:r>
      <w:r w:rsidR="00D27855">
        <w:t xml:space="preserve">ör att minska administrationen för enskilda forskningsgrupper </w:t>
      </w:r>
      <w:r w:rsidR="008F7DE5">
        <w:t xml:space="preserve">har Uppsala universitet </w:t>
      </w:r>
      <w:r w:rsidR="001D0461">
        <w:t xml:space="preserve">två </w:t>
      </w:r>
      <w:r w:rsidR="008F7DE5">
        <w:t xml:space="preserve">samlingstillstånd för </w:t>
      </w:r>
      <w:r w:rsidR="001D0461">
        <w:t>”</w:t>
      </w:r>
      <w:r w:rsidR="001D0461">
        <w:t>import och användning av</w:t>
      </w:r>
      <w:r w:rsidR="001D0461">
        <w:t xml:space="preserve"> </w:t>
      </w:r>
      <w:r w:rsidR="001D0461">
        <w:t>prover för forskning, diagnostik och undervisning</w:t>
      </w:r>
      <w:r w:rsidR="001D0461">
        <w:t>”</w:t>
      </w:r>
      <w:r w:rsidR="00674E52">
        <w:t>*</w:t>
      </w:r>
      <w:r w:rsidR="001D0461">
        <w:t>, samt ”</w:t>
      </w:r>
      <w:r w:rsidR="001D0461">
        <w:t>tillstånd för införsel av smittämnen</w:t>
      </w:r>
      <w:r w:rsidR="001D0461">
        <w:t xml:space="preserve"> </w:t>
      </w:r>
      <w:r w:rsidR="001D0461">
        <w:t>för forskning, diagnostik och undervisning</w:t>
      </w:r>
      <w:r w:rsidR="001D0461">
        <w:t xml:space="preserve">”** </w:t>
      </w:r>
      <w:r w:rsidR="00AF7EAA">
        <w:t>från Jordbruksverket</w:t>
      </w:r>
      <w:r w:rsidR="002751B2">
        <w:t>.</w:t>
      </w:r>
    </w:p>
    <w:p w14:paraId="2CF1A1BA" w14:textId="2F027BA7" w:rsidR="00F04FED" w:rsidRPr="003C49D3" w:rsidRDefault="00674E52" w:rsidP="003C49D3">
      <w:pPr>
        <w:spacing w:after="0"/>
      </w:pPr>
      <w:r>
        <w:t xml:space="preserve">Det är dock fortfarande </w:t>
      </w:r>
      <w:r w:rsidR="00624ADA">
        <w:t xml:space="preserve">användaren </w:t>
      </w:r>
      <w:r w:rsidR="00075CB9">
        <w:t xml:space="preserve">och </w:t>
      </w:r>
      <w:r>
        <w:t>prefekt som ansvarar för att arbetet sker enligt gällande lagstiftning, men d</w:t>
      </w:r>
      <w:r w:rsidR="008F7DE5">
        <w:t>e olika forskningsgrupperna behöver alltså inte själva ansöka om dessa tillstånd från Jordbruksverket</w:t>
      </w:r>
      <w:r w:rsidR="00EE32A0">
        <w:t>,</w:t>
      </w:r>
      <w:r w:rsidR="008F7DE5">
        <w:t xml:space="preserve"> utan fyller i formulär </w:t>
      </w:r>
      <w:r w:rsidR="00624ADA">
        <w:t xml:space="preserve">nedan </w:t>
      </w:r>
      <w:r w:rsidR="008F7DE5">
        <w:t xml:space="preserve">och mejlar till </w:t>
      </w:r>
      <w:r w:rsidR="00014652" w:rsidRPr="00014652">
        <w:t>henrik.gradstedt@uu.se</w:t>
      </w:r>
      <w:r w:rsidR="002751B2">
        <w:t xml:space="preserve"> innan </w:t>
      </w:r>
      <w:r w:rsidR="00837AE1">
        <w:t xml:space="preserve">varje </w:t>
      </w:r>
      <w:r w:rsidR="002751B2">
        <w:t>import</w:t>
      </w:r>
      <w:r w:rsidR="006729E1">
        <w:t xml:space="preserve">. </w:t>
      </w:r>
      <w:r w:rsidR="00624ADA">
        <w:t xml:space="preserve">Användaren </w:t>
      </w:r>
      <w:r w:rsidR="009B70F5">
        <w:t xml:space="preserve">och prefekt </w:t>
      </w:r>
      <w:r w:rsidR="00F667BD">
        <w:t xml:space="preserve">vidarebefordras sedan </w:t>
      </w:r>
      <w:r w:rsidR="000D5116">
        <w:t xml:space="preserve">en tidsbegränsad kopia av </w:t>
      </w:r>
      <w:r w:rsidR="00F667BD">
        <w:t>tillstånd</w:t>
      </w:r>
      <w:r w:rsidR="000D5116">
        <w:t>et</w:t>
      </w:r>
      <w:r w:rsidR="00F667BD">
        <w:t xml:space="preserve"> och det </w:t>
      </w:r>
      <w:r w:rsidR="006729E1">
        <w:t>tillståndsnummer som ibland krävs av leverantörerna innan de skickar er beställning.</w:t>
      </w:r>
      <w:r w:rsidR="001D0461">
        <w:t xml:space="preserve"> </w:t>
      </w:r>
      <w:r w:rsidR="003729C1">
        <w:t xml:space="preserve">Beroende på materialet så kan ytterligare tillstånd </w:t>
      </w:r>
      <w:r w:rsidR="00AB452B">
        <w:t xml:space="preserve">eller </w:t>
      </w:r>
      <w:r w:rsidR="002C7F08">
        <w:t>etisk prövning</w:t>
      </w:r>
      <w:r w:rsidR="00AB452B">
        <w:t xml:space="preserve"> </w:t>
      </w:r>
      <w:r w:rsidR="003729C1">
        <w:t>krävas</w:t>
      </w:r>
      <w:r w:rsidR="00AB452B">
        <w:t>***</w:t>
      </w:r>
      <w:r w:rsidR="003729C1">
        <w:t xml:space="preserve">, </w:t>
      </w:r>
      <w:r w:rsidR="00AB452B">
        <w:t>vidare så ska a</w:t>
      </w:r>
      <w:r w:rsidR="00226F26">
        <w:t xml:space="preserve">rbetet ske på </w:t>
      </w:r>
      <w:r w:rsidR="00014652">
        <w:t xml:space="preserve">lagstadgad </w:t>
      </w:r>
      <w:r w:rsidR="00226F26">
        <w:t xml:space="preserve">skyddsnivå, och </w:t>
      </w:r>
      <w:r w:rsidR="001D0461">
        <w:t xml:space="preserve">villkoren </w:t>
      </w:r>
      <w:r w:rsidR="00624ADA">
        <w:t xml:space="preserve">angivna i </w:t>
      </w:r>
      <w:r w:rsidR="001D0461">
        <w:t>tillstånden</w:t>
      </w:r>
      <w:r w:rsidR="00226F26">
        <w:t xml:space="preserve"> måste följas</w:t>
      </w:r>
      <w:r w:rsidR="001D0461">
        <w:t>.</w:t>
      </w:r>
      <w:r w:rsidR="00014652">
        <w:t xml:space="preserve"> </w:t>
      </w:r>
      <w:r w:rsidR="00F04FED">
        <w:t>V</w:t>
      </w:r>
      <w:r w:rsidR="00F04FED">
        <w:t>id eventuella frågor kring detta</w:t>
      </w:r>
      <w:r w:rsidR="00F04FED">
        <w:t xml:space="preserve">, eller </w:t>
      </w:r>
      <w:r w:rsidR="00F51499">
        <w:t xml:space="preserve">vid behov av </w:t>
      </w:r>
      <w:r w:rsidR="00767E05">
        <w:t xml:space="preserve">Uppsala universitets </w:t>
      </w:r>
      <w:r w:rsidR="00F51499">
        <w:t>biologiska högsäkerhetsfacilitet*</w:t>
      </w:r>
      <w:r w:rsidR="00AB452B">
        <w:t>*</w:t>
      </w:r>
      <w:r w:rsidR="00F51499">
        <w:t>**, k</w:t>
      </w:r>
      <w:r w:rsidR="00014652">
        <w:t xml:space="preserve">ontakta </w:t>
      </w:r>
      <w:hyperlink r:id="rId5" w:history="1">
        <w:r w:rsidR="00014652" w:rsidRPr="00C4546C">
          <w:rPr>
            <w:rStyle w:val="Hyperlnk"/>
          </w:rPr>
          <w:t>henrik.gradstedt@uu.se</w:t>
        </w:r>
      </w:hyperlink>
      <w:r w:rsidR="00014652">
        <w:t xml:space="preserve"> </w:t>
      </w:r>
    </w:p>
    <w:p w14:paraId="739B6191" w14:textId="5DDF32B4" w:rsidR="000B4C84" w:rsidRDefault="00324C67" w:rsidP="00324C67">
      <w:pPr>
        <w:spacing w:after="0" w:line="240" w:lineRule="auto"/>
        <w:rPr>
          <w:sz w:val="16"/>
          <w:szCs w:val="16"/>
        </w:rPr>
      </w:pPr>
      <w:r w:rsidRPr="00F04FED">
        <w:rPr>
          <w:sz w:val="16"/>
          <w:szCs w:val="16"/>
        </w:rPr>
        <w:t>*</w:t>
      </w:r>
    </w:p>
    <w:p w14:paraId="5C8B4891" w14:textId="77777777" w:rsidR="000B4C84" w:rsidRDefault="000B4C84" w:rsidP="00324C67">
      <w:pPr>
        <w:spacing w:after="0" w:line="240" w:lineRule="auto"/>
        <w:rPr>
          <w:sz w:val="16"/>
          <w:szCs w:val="16"/>
        </w:rPr>
      </w:pPr>
      <w:r>
        <w:rPr>
          <w:sz w:val="16"/>
          <w:szCs w:val="16"/>
        </w:rPr>
        <w:t xml:space="preserve">- </w:t>
      </w:r>
      <w:r w:rsidR="00F13D70" w:rsidRPr="00F04FED">
        <w:rPr>
          <w:sz w:val="16"/>
          <w:szCs w:val="16"/>
        </w:rPr>
        <w:t>Animaliska</w:t>
      </w:r>
      <w:r w:rsidR="00F13D70" w:rsidRPr="00F13D70">
        <w:rPr>
          <w:sz w:val="16"/>
          <w:szCs w:val="16"/>
        </w:rPr>
        <w:t xml:space="preserve"> biprodukter</w:t>
      </w:r>
      <w:r w:rsidR="001D0461">
        <w:rPr>
          <w:sz w:val="16"/>
          <w:szCs w:val="16"/>
        </w:rPr>
        <w:t>,</w:t>
      </w:r>
      <w:r w:rsidR="00324C67">
        <w:rPr>
          <w:sz w:val="16"/>
          <w:szCs w:val="16"/>
        </w:rPr>
        <w:t xml:space="preserve"> </w:t>
      </w:r>
      <w:r w:rsidR="001D0461" w:rsidRPr="001D0461">
        <w:rPr>
          <w:sz w:val="16"/>
          <w:szCs w:val="16"/>
        </w:rPr>
        <w:t>vätskor från</w:t>
      </w:r>
      <w:r w:rsidR="001D0461">
        <w:rPr>
          <w:sz w:val="16"/>
          <w:szCs w:val="16"/>
        </w:rPr>
        <w:t xml:space="preserve"> </w:t>
      </w:r>
      <w:r w:rsidR="001D0461" w:rsidRPr="001D0461">
        <w:rPr>
          <w:sz w:val="16"/>
          <w:szCs w:val="16"/>
        </w:rPr>
        <w:t>djur, vävnad från djur, djurkroppar, serum, avdödade insekter, proteiner och antikroppar för</w:t>
      </w:r>
      <w:r w:rsidR="001D0461">
        <w:rPr>
          <w:sz w:val="16"/>
          <w:szCs w:val="16"/>
        </w:rPr>
        <w:t xml:space="preserve"> </w:t>
      </w:r>
      <w:r w:rsidR="001D0461" w:rsidRPr="001D0461">
        <w:rPr>
          <w:sz w:val="16"/>
          <w:szCs w:val="16"/>
        </w:rPr>
        <w:t>forskningsändamål, diagnostiska ändamål och undervisningsändamål</w:t>
      </w:r>
      <w:r w:rsidR="00324C67">
        <w:rPr>
          <w:sz w:val="16"/>
          <w:szCs w:val="16"/>
        </w:rPr>
        <w:t>.</w:t>
      </w:r>
    </w:p>
    <w:p w14:paraId="2E3867CB" w14:textId="707AB86F" w:rsidR="00F04FED" w:rsidRDefault="000B4C84" w:rsidP="00F04FED">
      <w:pPr>
        <w:spacing w:after="0" w:line="240" w:lineRule="auto"/>
        <w:rPr>
          <w:sz w:val="16"/>
          <w:szCs w:val="16"/>
        </w:rPr>
      </w:pPr>
      <w:r>
        <w:rPr>
          <w:sz w:val="16"/>
          <w:szCs w:val="16"/>
        </w:rPr>
        <w:t xml:space="preserve">- </w:t>
      </w:r>
      <w:r w:rsidR="00324C67" w:rsidRPr="00324C67">
        <w:rPr>
          <w:sz w:val="16"/>
          <w:szCs w:val="16"/>
        </w:rPr>
        <w:t>Ansökan gäller införsel</w:t>
      </w:r>
      <w:r>
        <w:rPr>
          <w:sz w:val="16"/>
          <w:szCs w:val="16"/>
        </w:rPr>
        <w:t xml:space="preserve"> </w:t>
      </w:r>
      <w:r w:rsidR="00324C67" w:rsidRPr="00324C67">
        <w:rPr>
          <w:sz w:val="16"/>
          <w:szCs w:val="16"/>
        </w:rPr>
        <w:t>från samtliga länder utanför EU, Norge och Schweiz.</w:t>
      </w:r>
      <w:r w:rsidR="00324C67">
        <w:rPr>
          <w:sz w:val="16"/>
          <w:szCs w:val="16"/>
        </w:rPr>
        <w:t xml:space="preserve"> </w:t>
      </w:r>
      <w:r w:rsidR="00324C67" w:rsidRPr="00324C67">
        <w:rPr>
          <w:sz w:val="16"/>
          <w:szCs w:val="16"/>
        </w:rPr>
        <w:t>Det är inte krav på importtillstånd för EU-länder inklusive Norge och Schweiz</w:t>
      </w:r>
      <w:r w:rsidR="00324C67">
        <w:rPr>
          <w:sz w:val="16"/>
          <w:szCs w:val="16"/>
        </w:rPr>
        <w:t>.</w:t>
      </w:r>
    </w:p>
    <w:p w14:paraId="751C686E" w14:textId="77777777" w:rsidR="000B4C84" w:rsidRDefault="00324C67" w:rsidP="00F04FED">
      <w:pPr>
        <w:spacing w:after="0" w:line="240" w:lineRule="auto"/>
        <w:rPr>
          <w:sz w:val="16"/>
          <w:szCs w:val="16"/>
        </w:rPr>
      </w:pPr>
      <w:r>
        <w:rPr>
          <w:sz w:val="16"/>
          <w:szCs w:val="16"/>
        </w:rPr>
        <w:t>**</w:t>
      </w:r>
    </w:p>
    <w:p w14:paraId="2E9E2B44" w14:textId="77777777" w:rsidR="000B4C84" w:rsidRDefault="000B4C84" w:rsidP="00F04FED">
      <w:pPr>
        <w:spacing w:after="0" w:line="240" w:lineRule="auto"/>
        <w:rPr>
          <w:sz w:val="16"/>
          <w:szCs w:val="16"/>
        </w:rPr>
      </w:pPr>
      <w:r>
        <w:rPr>
          <w:sz w:val="16"/>
          <w:szCs w:val="16"/>
        </w:rPr>
        <w:t xml:space="preserve">- </w:t>
      </w:r>
      <w:r w:rsidR="00324C67">
        <w:rPr>
          <w:sz w:val="16"/>
          <w:szCs w:val="16"/>
        </w:rPr>
        <w:t xml:space="preserve">Kända </w:t>
      </w:r>
      <w:r w:rsidR="00324C67" w:rsidRPr="00324C67">
        <w:rPr>
          <w:sz w:val="16"/>
          <w:szCs w:val="16"/>
        </w:rPr>
        <w:t>smittämnen</w:t>
      </w:r>
      <w:r w:rsidR="00F04FED">
        <w:rPr>
          <w:sz w:val="16"/>
          <w:szCs w:val="16"/>
        </w:rPr>
        <w:t>/material</w:t>
      </w:r>
      <w:r w:rsidR="00324C67" w:rsidRPr="00324C67">
        <w:rPr>
          <w:sz w:val="16"/>
          <w:szCs w:val="16"/>
        </w:rPr>
        <w:t xml:space="preserve"> som kan</w:t>
      </w:r>
      <w:r w:rsidR="00324C67">
        <w:rPr>
          <w:sz w:val="16"/>
          <w:szCs w:val="16"/>
        </w:rPr>
        <w:t xml:space="preserve"> </w:t>
      </w:r>
      <w:r w:rsidR="00324C67" w:rsidRPr="00324C67">
        <w:rPr>
          <w:sz w:val="16"/>
          <w:szCs w:val="16"/>
        </w:rPr>
        <w:t>smitta djur</w:t>
      </w:r>
      <w:r w:rsidR="00324C67">
        <w:rPr>
          <w:sz w:val="16"/>
          <w:szCs w:val="16"/>
        </w:rPr>
        <w:t>,</w:t>
      </w:r>
      <w:r w:rsidR="00324C67" w:rsidRPr="00324C67">
        <w:rPr>
          <w:sz w:val="16"/>
          <w:szCs w:val="16"/>
        </w:rPr>
        <w:t xml:space="preserve"> samt idag okända/oklassificerade smittämnen</w:t>
      </w:r>
      <w:r w:rsidR="00F04FED">
        <w:rPr>
          <w:sz w:val="16"/>
          <w:szCs w:val="16"/>
        </w:rPr>
        <w:t>/material</w:t>
      </w:r>
      <w:r w:rsidR="00324C67" w:rsidRPr="00324C67">
        <w:rPr>
          <w:sz w:val="16"/>
          <w:szCs w:val="16"/>
        </w:rPr>
        <w:t>, som kan misstänkas</w:t>
      </w:r>
      <w:r w:rsidR="00324C67">
        <w:rPr>
          <w:sz w:val="16"/>
          <w:szCs w:val="16"/>
        </w:rPr>
        <w:t xml:space="preserve"> </w:t>
      </w:r>
      <w:r w:rsidR="00324C67" w:rsidRPr="00324C67">
        <w:rPr>
          <w:sz w:val="16"/>
          <w:szCs w:val="16"/>
        </w:rPr>
        <w:t>smitta djur.</w:t>
      </w:r>
    </w:p>
    <w:p w14:paraId="1022452C" w14:textId="68C05639" w:rsidR="00A20E18" w:rsidRDefault="00A20E18" w:rsidP="00A20E18">
      <w:pPr>
        <w:spacing w:after="0" w:line="240" w:lineRule="auto"/>
        <w:rPr>
          <w:sz w:val="16"/>
          <w:szCs w:val="16"/>
        </w:rPr>
      </w:pPr>
      <w:r>
        <w:rPr>
          <w:sz w:val="16"/>
          <w:szCs w:val="16"/>
        </w:rPr>
        <w:t>- Tillstånde</w:t>
      </w:r>
      <w:r w:rsidRPr="000B4C84">
        <w:rPr>
          <w:sz w:val="16"/>
          <w:szCs w:val="16"/>
        </w:rPr>
        <w:t xml:space="preserve">t </w:t>
      </w:r>
      <w:r w:rsidRPr="00A20E18">
        <w:rPr>
          <w:sz w:val="16"/>
          <w:szCs w:val="16"/>
        </w:rPr>
        <w:t xml:space="preserve">omfattar </w:t>
      </w:r>
      <w:r w:rsidRPr="00A20E18">
        <w:rPr>
          <w:sz w:val="16"/>
          <w:szCs w:val="16"/>
        </w:rPr>
        <w:t>dock</w:t>
      </w:r>
      <w:r>
        <w:rPr>
          <w:b/>
          <w:sz w:val="16"/>
          <w:szCs w:val="16"/>
        </w:rPr>
        <w:t xml:space="preserve"> </w:t>
      </w:r>
      <w:r w:rsidRPr="00F04FED">
        <w:rPr>
          <w:b/>
          <w:sz w:val="16"/>
          <w:szCs w:val="16"/>
          <w:u w:val="single"/>
        </w:rPr>
        <w:t>inte</w:t>
      </w:r>
      <w:r>
        <w:rPr>
          <w:sz w:val="16"/>
          <w:szCs w:val="16"/>
        </w:rPr>
        <w:t xml:space="preserve"> </w:t>
      </w:r>
      <w:r w:rsidRPr="00F04FED">
        <w:rPr>
          <w:sz w:val="16"/>
          <w:szCs w:val="16"/>
        </w:rPr>
        <w:t>prover som kan misstänkas innehålla mul- och</w:t>
      </w:r>
      <w:r>
        <w:rPr>
          <w:sz w:val="16"/>
          <w:szCs w:val="16"/>
        </w:rPr>
        <w:t xml:space="preserve"> </w:t>
      </w:r>
      <w:r w:rsidRPr="00F04FED">
        <w:rPr>
          <w:sz w:val="16"/>
          <w:szCs w:val="16"/>
        </w:rPr>
        <w:t xml:space="preserve">klövsjukevirus (FMD-virus), </w:t>
      </w:r>
      <w:proofErr w:type="spellStart"/>
      <w:r w:rsidRPr="00F04FED">
        <w:rPr>
          <w:sz w:val="16"/>
          <w:szCs w:val="16"/>
        </w:rPr>
        <w:t>blåtungevirus</w:t>
      </w:r>
      <w:proofErr w:type="spellEnd"/>
      <w:r w:rsidRPr="00F04FED">
        <w:rPr>
          <w:sz w:val="16"/>
          <w:szCs w:val="16"/>
        </w:rPr>
        <w:t xml:space="preserve">, afrikanskt svinpestvirus, </w:t>
      </w:r>
      <w:proofErr w:type="spellStart"/>
      <w:r w:rsidRPr="00F04FED">
        <w:rPr>
          <w:sz w:val="16"/>
          <w:szCs w:val="16"/>
        </w:rPr>
        <w:t>transmissibla</w:t>
      </w:r>
      <w:proofErr w:type="spellEnd"/>
      <w:r>
        <w:rPr>
          <w:sz w:val="16"/>
          <w:szCs w:val="16"/>
        </w:rPr>
        <w:t xml:space="preserve"> </w:t>
      </w:r>
      <w:proofErr w:type="spellStart"/>
      <w:r w:rsidRPr="00F04FED">
        <w:rPr>
          <w:sz w:val="16"/>
          <w:szCs w:val="16"/>
        </w:rPr>
        <w:t>spongiforma</w:t>
      </w:r>
      <w:proofErr w:type="spellEnd"/>
      <w:r w:rsidRPr="00F04FED">
        <w:rPr>
          <w:sz w:val="16"/>
          <w:szCs w:val="16"/>
        </w:rPr>
        <w:t xml:space="preserve"> </w:t>
      </w:r>
      <w:proofErr w:type="spellStart"/>
      <w:r w:rsidRPr="00F04FED">
        <w:rPr>
          <w:sz w:val="16"/>
          <w:szCs w:val="16"/>
        </w:rPr>
        <w:t>encephalopatier</w:t>
      </w:r>
      <w:proofErr w:type="spellEnd"/>
      <w:r w:rsidRPr="00F04FED">
        <w:rPr>
          <w:sz w:val="16"/>
          <w:szCs w:val="16"/>
        </w:rPr>
        <w:t xml:space="preserve">, </w:t>
      </w:r>
      <w:proofErr w:type="spellStart"/>
      <w:r w:rsidRPr="00F04FED">
        <w:rPr>
          <w:sz w:val="16"/>
          <w:szCs w:val="16"/>
        </w:rPr>
        <w:t>Aujeszkys</w:t>
      </w:r>
      <w:proofErr w:type="spellEnd"/>
      <w:r w:rsidRPr="00F04FED">
        <w:rPr>
          <w:sz w:val="16"/>
          <w:szCs w:val="16"/>
        </w:rPr>
        <w:t xml:space="preserve"> virus, </w:t>
      </w:r>
      <w:proofErr w:type="spellStart"/>
      <w:r w:rsidRPr="00F04FED">
        <w:rPr>
          <w:sz w:val="16"/>
          <w:szCs w:val="16"/>
        </w:rPr>
        <w:t>bovint</w:t>
      </w:r>
      <w:proofErr w:type="spellEnd"/>
      <w:r w:rsidRPr="00F04FED">
        <w:rPr>
          <w:sz w:val="16"/>
          <w:szCs w:val="16"/>
        </w:rPr>
        <w:t xml:space="preserve"> herpesvirus typ 1, </w:t>
      </w:r>
      <w:proofErr w:type="spellStart"/>
      <w:r w:rsidRPr="00F04FED">
        <w:rPr>
          <w:sz w:val="16"/>
          <w:szCs w:val="16"/>
        </w:rPr>
        <w:t>bovint</w:t>
      </w:r>
      <w:proofErr w:type="spellEnd"/>
      <w:r>
        <w:rPr>
          <w:sz w:val="16"/>
          <w:szCs w:val="16"/>
        </w:rPr>
        <w:t xml:space="preserve"> </w:t>
      </w:r>
      <w:r w:rsidRPr="00F04FED">
        <w:rPr>
          <w:sz w:val="16"/>
          <w:szCs w:val="16"/>
        </w:rPr>
        <w:t>leukemivirus, klassisk svinpest (CSF-virus), afrikansk hästpest (AHS-virus), M.</w:t>
      </w:r>
      <w:r>
        <w:rPr>
          <w:sz w:val="16"/>
          <w:szCs w:val="16"/>
        </w:rPr>
        <w:t xml:space="preserve"> </w:t>
      </w:r>
      <w:proofErr w:type="spellStart"/>
      <w:r w:rsidRPr="00F04FED">
        <w:rPr>
          <w:sz w:val="16"/>
          <w:szCs w:val="16"/>
        </w:rPr>
        <w:t>capricolum</w:t>
      </w:r>
      <w:proofErr w:type="spellEnd"/>
      <w:r w:rsidRPr="00F04FED">
        <w:rPr>
          <w:sz w:val="16"/>
          <w:szCs w:val="16"/>
        </w:rPr>
        <w:t xml:space="preserve"> </w:t>
      </w:r>
      <w:proofErr w:type="spellStart"/>
      <w:r w:rsidRPr="00F04FED">
        <w:rPr>
          <w:sz w:val="16"/>
          <w:szCs w:val="16"/>
        </w:rPr>
        <w:t>subsp</w:t>
      </w:r>
      <w:proofErr w:type="spellEnd"/>
      <w:r w:rsidRPr="00F04FED">
        <w:rPr>
          <w:sz w:val="16"/>
          <w:szCs w:val="16"/>
        </w:rPr>
        <w:t xml:space="preserve">. </w:t>
      </w:r>
      <w:proofErr w:type="spellStart"/>
      <w:r w:rsidRPr="00F04FED">
        <w:rPr>
          <w:sz w:val="16"/>
          <w:szCs w:val="16"/>
        </w:rPr>
        <w:t>capripneumoniae</w:t>
      </w:r>
      <w:proofErr w:type="spellEnd"/>
      <w:r w:rsidRPr="00F04FED">
        <w:rPr>
          <w:sz w:val="16"/>
          <w:szCs w:val="16"/>
        </w:rPr>
        <w:t xml:space="preserve">, får/getkoppvirus, </w:t>
      </w:r>
      <w:proofErr w:type="spellStart"/>
      <w:r w:rsidRPr="00F04FED">
        <w:rPr>
          <w:sz w:val="16"/>
          <w:szCs w:val="16"/>
        </w:rPr>
        <w:t>peste</w:t>
      </w:r>
      <w:proofErr w:type="spellEnd"/>
      <w:r w:rsidRPr="00F04FED">
        <w:rPr>
          <w:sz w:val="16"/>
          <w:szCs w:val="16"/>
        </w:rPr>
        <w:t xml:space="preserve"> des petits </w:t>
      </w:r>
      <w:proofErr w:type="spellStart"/>
      <w:r w:rsidRPr="00F04FED">
        <w:rPr>
          <w:sz w:val="16"/>
          <w:szCs w:val="16"/>
        </w:rPr>
        <w:t>ruminants</w:t>
      </w:r>
      <w:proofErr w:type="spellEnd"/>
      <w:r>
        <w:rPr>
          <w:sz w:val="16"/>
          <w:szCs w:val="16"/>
        </w:rPr>
        <w:t xml:space="preserve"> </w:t>
      </w:r>
      <w:r w:rsidRPr="00F04FED">
        <w:rPr>
          <w:sz w:val="16"/>
          <w:szCs w:val="16"/>
        </w:rPr>
        <w:t xml:space="preserve">(PPR-virus), </w:t>
      </w:r>
      <w:proofErr w:type="spellStart"/>
      <w:r w:rsidRPr="00F04FED">
        <w:rPr>
          <w:sz w:val="16"/>
          <w:szCs w:val="16"/>
        </w:rPr>
        <w:t>lumpy</w:t>
      </w:r>
      <w:proofErr w:type="spellEnd"/>
      <w:r w:rsidRPr="00F04FED">
        <w:rPr>
          <w:sz w:val="16"/>
          <w:szCs w:val="16"/>
        </w:rPr>
        <w:t xml:space="preserve"> skin </w:t>
      </w:r>
      <w:proofErr w:type="spellStart"/>
      <w:r w:rsidRPr="00F04FED">
        <w:rPr>
          <w:sz w:val="16"/>
          <w:szCs w:val="16"/>
        </w:rPr>
        <w:t>disease</w:t>
      </w:r>
      <w:proofErr w:type="spellEnd"/>
      <w:r w:rsidRPr="00F04FED">
        <w:rPr>
          <w:sz w:val="16"/>
          <w:szCs w:val="16"/>
        </w:rPr>
        <w:t xml:space="preserve"> (LSD-virus), M. </w:t>
      </w:r>
      <w:proofErr w:type="spellStart"/>
      <w:r w:rsidRPr="00F04FED">
        <w:rPr>
          <w:sz w:val="16"/>
          <w:szCs w:val="16"/>
        </w:rPr>
        <w:t>mycoides</w:t>
      </w:r>
      <w:proofErr w:type="spellEnd"/>
      <w:r w:rsidRPr="00F04FED">
        <w:rPr>
          <w:sz w:val="16"/>
          <w:szCs w:val="16"/>
        </w:rPr>
        <w:t xml:space="preserve"> </w:t>
      </w:r>
      <w:proofErr w:type="spellStart"/>
      <w:r w:rsidRPr="00F04FED">
        <w:rPr>
          <w:sz w:val="16"/>
          <w:szCs w:val="16"/>
        </w:rPr>
        <w:t>subsp</w:t>
      </w:r>
      <w:proofErr w:type="spellEnd"/>
      <w:r w:rsidRPr="00F04FED">
        <w:rPr>
          <w:sz w:val="16"/>
          <w:szCs w:val="16"/>
        </w:rPr>
        <w:t>. Capri och</w:t>
      </w:r>
      <w:r>
        <w:rPr>
          <w:sz w:val="16"/>
          <w:szCs w:val="16"/>
        </w:rPr>
        <w:t xml:space="preserve"> </w:t>
      </w:r>
      <w:r w:rsidRPr="00F04FED">
        <w:rPr>
          <w:sz w:val="16"/>
          <w:szCs w:val="16"/>
        </w:rPr>
        <w:t>boskapspest (</w:t>
      </w:r>
      <w:proofErr w:type="spellStart"/>
      <w:r w:rsidRPr="00F04FED">
        <w:rPr>
          <w:sz w:val="16"/>
          <w:szCs w:val="16"/>
        </w:rPr>
        <w:t>Rinderpestvirus</w:t>
      </w:r>
      <w:proofErr w:type="spellEnd"/>
      <w:r w:rsidRPr="00F04FED">
        <w:rPr>
          <w:sz w:val="16"/>
          <w:szCs w:val="16"/>
        </w:rPr>
        <w:t>)</w:t>
      </w:r>
      <w:r>
        <w:rPr>
          <w:sz w:val="16"/>
          <w:szCs w:val="16"/>
        </w:rPr>
        <w:t>.</w:t>
      </w:r>
    </w:p>
    <w:p w14:paraId="6278CE50" w14:textId="77777777" w:rsidR="000B4C84" w:rsidRDefault="000B4C84" w:rsidP="00F04FED">
      <w:pPr>
        <w:spacing w:after="0" w:line="240" w:lineRule="auto"/>
        <w:rPr>
          <w:sz w:val="16"/>
          <w:szCs w:val="16"/>
        </w:rPr>
      </w:pPr>
      <w:r>
        <w:rPr>
          <w:sz w:val="16"/>
          <w:szCs w:val="16"/>
        </w:rPr>
        <w:t xml:space="preserve">- </w:t>
      </w:r>
      <w:r w:rsidR="00324C67">
        <w:rPr>
          <w:sz w:val="16"/>
          <w:szCs w:val="16"/>
        </w:rPr>
        <w:t>Tillståndet</w:t>
      </w:r>
      <w:r w:rsidR="00324C67" w:rsidRPr="00324C67">
        <w:rPr>
          <w:sz w:val="16"/>
          <w:szCs w:val="16"/>
        </w:rPr>
        <w:t xml:space="preserve"> gäller för samtliga länder</w:t>
      </w:r>
      <w:r w:rsidR="00324C67">
        <w:rPr>
          <w:sz w:val="16"/>
          <w:szCs w:val="16"/>
        </w:rPr>
        <w:t xml:space="preserve"> </w:t>
      </w:r>
      <w:r w:rsidR="00324C67" w:rsidRPr="00324C67">
        <w:rPr>
          <w:sz w:val="16"/>
          <w:szCs w:val="16"/>
        </w:rPr>
        <w:t>för</w:t>
      </w:r>
      <w:r w:rsidR="00F04FED">
        <w:rPr>
          <w:sz w:val="16"/>
          <w:szCs w:val="16"/>
        </w:rPr>
        <w:t xml:space="preserve"> </w:t>
      </w:r>
      <w:r w:rsidR="00324C67" w:rsidRPr="00324C67">
        <w:rPr>
          <w:sz w:val="16"/>
          <w:szCs w:val="16"/>
        </w:rPr>
        <w:t>forskningsändamål, diagnostiska ändamål och undervisningsändamål.</w:t>
      </w:r>
    </w:p>
    <w:p w14:paraId="7ADAA8A8" w14:textId="6319D12E" w:rsidR="00324C67" w:rsidRDefault="00A20E18" w:rsidP="00F51499">
      <w:pPr>
        <w:spacing w:after="0" w:line="240" w:lineRule="auto"/>
        <w:rPr>
          <w:sz w:val="16"/>
          <w:szCs w:val="16"/>
        </w:rPr>
      </w:pPr>
      <w:r>
        <w:rPr>
          <w:sz w:val="16"/>
          <w:szCs w:val="16"/>
        </w:rPr>
        <w:t xml:space="preserve">- </w:t>
      </w:r>
      <w:r w:rsidR="005D53B5">
        <w:rPr>
          <w:sz w:val="16"/>
          <w:szCs w:val="16"/>
        </w:rPr>
        <w:t xml:space="preserve">Human-patogener och cellinjer </w:t>
      </w:r>
      <w:r w:rsidR="003729C1">
        <w:rPr>
          <w:sz w:val="16"/>
          <w:szCs w:val="16"/>
        </w:rPr>
        <w:t>omfattas</w:t>
      </w:r>
      <w:r>
        <w:rPr>
          <w:sz w:val="16"/>
          <w:szCs w:val="16"/>
        </w:rPr>
        <w:t xml:space="preserve"> ej av tillståndet</w:t>
      </w:r>
      <w:r w:rsidR="003729C1">
        <w:rPr>
          <w:sz w:val="16"/>
          <w:szCs w:val="16"/>
        </w:rPr>
        <w:t xml:space="preserve">, </w:t>
      </w:r>
      <w:r w:rsidR="005D53B5">
        <w:rPr>
          <w:sz w:val="16"/>
          <w:szCs w:val="16"/>
        </w:rPr>
        <w:t>då användnings</w:t>
      </w:r>
      <w:r w:rsidR="005D53B5" w:rsidRPr="006D0C26">
        <w:rPr>
          <w:sz w:val="16"/>
          <w:szCs w:val="16"/>
        </w:rPr>
        <w:t xml:space="preserve">tillstånd för </w:t>
      </w:r>
      <w:r w:rsidR="005D53B5">
        <w:rPr>
          <w:sz w:val="16"/>
          <w:szCs w:val="16"/>
        </w:rPr>
        <w:t xml:space="preserve">dessa </w:t>
      </w:r>
      <w:r w:rsidR="005D53B5" w:rsidRPr="006D0C26">
        <w:rPr>
          <w:sz w:val="16"/>
          <w:szCs w:val="16"/>
        </w:rPr>
        <w:t xml:space="preserve">ingår </w:t>
      </w:r>
      <w:r w:rsidR="005D53B5">
        <w:rPr>
          <w:sz w:val="16"/>
          <w:szCs w:val="16"/>
        </w:rPr>
        <w:t xml:space="preserve">i </w:t>
      </w:r>
      <w:r w:rsidR="005D53B5" w:rsidRPr="006D0C26">
        <w:rPr>
          <w:sz w:val="16"/>
          <w:szCs w:val="16"/>
        </w:rPr>
        <w:t>anmälan</w:t>
      </w:r>
      <w:r w:rsidR="005D53B5">
        <w:rPr>
          <w:sz w:val="16"/>
          <w:szCs w:val="16"/>
        </w:rPr>
        <w:t xml:space="preserve"> av arbete med smittämne</w:t>
      </w:r>
      <w:r w:rsidR="003729C1">
        <w:rPr>
          <w:sz w:val="16"/>
          <w:szCs w:val="16"/>
        </w:rPr>
        <w:t>/GMM</w:t>
      </w:r>
      <w:r w:rsidR="005D53B5">
        <w:rPr>
          <w:sz w:val="16"/>
          <w:szCs w:val="16"/>
        </w:rPr>
        <w:t xml:space="preserve"> som görs till A</w:t>
      </w:r>
      <w:r w:rsidR="005D53B5" w:rsidRPr="006D0C26">
        <w:rPr>
          <w:sz w:val="16"/>
          <w:szCs w:val="16"/>
        </w:rPr>
        <w:t>rbetsmiljöverk</w:t>
      </w:r>
      <w:r w:rsidR="005D53B5">
        <w:rPr>
          <w:sz w:val="16"/>
          <w:szCs w:val="16"/>
        </w:rPr>
        <w:t xml:space="preserve">et. Kontakta </w:t>
      </w:r>
      <w:hyperlink r:id="rId6" w:history="1">
        <w:r w:rsidR="005D53B5" w:rsidRPr="00C4546C">
          <w:rPr>
            <w:rStyle w:val="Hyperlnk"/>
            <w:sz w:val="16"/>
            <w:szCs w:val="16"/>
          </w:rPr>
          <w:t>henrik.gradstedt@uu.se</w:t>
        </w:r>
      </w:hyperlink>
      <w:r w:rsidR="005D53B5">
        <w:rPr>
          <w:sz w:val="16"/>
          <w:szCs w:val="16"/>
        </w:rPr>
        <w:t xml:space="preserve"> om ni behöver hjälp med detta.</w:t>
      </w:r>
    </w:p>
    <w:p w14:paraId="1CC31789" w14:textId="576F4794" w:rsidR="00AB452B" w:rsidRDefault="00AB452B" w:rsidP="00F51499">
      <w:pPr>
        <w:spacing w:after="0" w:line="240" w:lineRule="auto"/>
        <w:rPr>
          <w:sz w:val="16"/>
          <w:szCs w:val="16"/>
        </w:rPr>
      </w:pPr>
      <w:r>
        <w:rPr>
          <w:sz w:val="16"/>
          <w:szCs w:val="16"/>
        </w:rPr>
        <w:t>***</w:t>
      </w:r>
      <w:r w:rsidR="003C49D3">
        <w:rPr>
          <w:sz w:val="16"/>
          <w:szCs w:val="16"/>
        </w:rPr>
        <w:t xml:space="preserve"> </w:t>
      </w:r>
      <w:r w:rsidRPr="00AB452B">
        <w:rPr>
          <w:sz w:val="16"/>
          <w:szCs w:val="16"/>
        </w:rPr>
        <w:t>https://www.uu.se/medarbetare/ingang/forskning/forskarhandboken/forskningsetik/tillstand-och-etisk-provning</w:t>
      </w:r>
    </w:p>
    <w:p w14:paraId="309C9CEC" w14:textId="59CAE2E5" w:rsidR="00F51499" w:rsidRDefault="00AB452B" w:rsidP="00F51499">
      <w:pPr>
        <w:spacing w:after="0" w:line="240" w:lineRule="auto"/>
        <w:rPr>
          <w:sz w:val="16"/>
          <w:szCs w:val="16"/>
        </w:rPr>
      </w:pPr>
      <w:r>
        <w:rPr>
          <w:sz w:val="16"/>
          <w:szCs w:val="16"/>
        </w:rPr>
        <w:t>*</w:t>
      </w:r>
      <w:r w:rsidR="00F51499">
        <w:rPr>
          <w:sz w:val="16"/>
          <w:szCs w:val="16"/>
        </w:rPr>
        <w:t>***</w:t>
      </w:r>
      <w:r w:rsidR="003C49D3">
        <w:rPr>
          <w:sz w:val="16"/>
          <w:szCs w:val="16"/>
        </w:rPr>
        <w:t xml:space="preserve"> </w:t>
      </w:r>
      <w:r w:rsidR="00F51499" w:rsidRPr="00A20E18">
        <w:rPr>
          <w:sz w:val="16"/>
          <w:szCs w:val="16"/>
        </w:rPr>
        <w:t>https://www.uu.se/institution/medicinsk-biokemi-och-mikrobiologi/forskning/lundkvist-ake/bsl3-lab</w:t>
      </w:r>
    </w:p>
    <w:p w14:paraId="468A9216" w14:textId="77777777" w:rsidR="00483A61" w:rsidRPr="00483A61" w:rsidRDefault="00483A61" w:rsidP="00483A61">
      <w:pPr>
        <w:spacing w:after="0"/>
        <w:jc w:val="center"/>
        <w:rPr>
          <w:b/>
          <w:sz w:val="32"/>
        </w:rPr>
      </w:pPr>
    </w:p>
    <w:p w14:paraId="3BB04FBB" w14:textId="0ADB213F" w:rsidR="00483A61" w:rsidRPr="009D1573" w:rsidRDefault="00483A61" w:rsidP="00483A61">
      <w:pPr>
        <w:spacing w:after="0"/>
        <w:jc w:val="center"/>
        <w:rPr>
          <w:b/>
          <w:i/>
          <w:sz w:val="32"/>
          <w:lang w:val="en-GB"/>
        </w:rPr>
      </w:pPr>
      <w:r w:rsidRPr="009D1573">
        <w:rPr>
          <w:b/>
          <w:i/>
          <w:sz w:val="32"/>
          <w:lang w:val="en-GB"/>
        </w:rPr>
        <w:t>Import and usage registry of biological samples</w:t>
      </w:r>
      <w:r w:rsidR="00080EA7">
        <w:rPr>
          <w:b/>
          <w:i/>
          <w:sz w:val="32"/>
          <w:lang w:val="en-GB"/>
        </w:rPr>
        <w:t xml:space="preserve"> </w:t>
      </w:r>
      <w:r w:rsidRPr="009D1573">
        <w:rPr>
          <w:b/>
          <w:i/>
          <w:sz w:val="32"/>
          <w:lang w:val="en-GB"/>
        </w:rPr>
        <w:t>for research</w:t>
      </w:r>
      <w:r w:rsidR="009A7FF9">
        <w:rPr>
          <w:b/>
          <w:i/>
          <w:sz w:val="32"/>
          <w:lang w:val="en-GB"/>
        </w:rPr>
        <w:t xml:space="preserve">, </w:t>
      </w:r>
      <w:r w:rsidRPr="009D1573">
        <w:rPr>
          <w:b/>
          <w:i/>
          <w:sz w:val="32"/>
          <w:lang w:val="en-GB"/>
        </w:rPr>
        <w:t>education</w:t>
      </w:r>
      <w:r w:rsidR="009A7FF9">
        <w:rPr>
          <w:b/>
          <w:i/>
          <w:sz w:val="32"/>
          <w:lang w:val="en-GB"/>
        </w:rPr>
        <w:t>, and diagnostics</w:t>
      </w:r>
    </w:p>
    <w:p w14:paraId="38C48E7B" w14:textId="3022E646" w:rsidR="00E22B55" w:rsidRPr="00E22B55" w:rsidRDefault="00E22B55" w:rsidP="00E22B55">
      <w:pPr>
        <w:spacing w:after="0"/>
        <w:rPr>
          <w:i/>
          <w:lang w:val="en-GB"/>
        </w:rPr>
      </w:pPr>
      <w:r w:rsidRPr="00E22B55">
        <w:rPr>
          <w:i/>
          <w:lang w:val="en-GB"/>
        </w:rPr>
        <w:t xml:space="preserve">Import and use of animal by-products, as well as animal infectious agents in research, education, and diagnostics requires a permit, and is usually handled by the </w:t>
      </w:r>
      <w:r w:rsidRPr="009D1573">
        <w:rPr>
          <w:i/>
          <w:lang w:val="en-GB"/>
        </w:rPr>
        <w:t>Board o</w:t>
      </w:r>
      <w:r>
        <w:rPr>
          <w:i/>
          <w:lang w:val="en-GB"/>
        </w:rPr>
        <w:t>f Agriculture</w:t>
      </w:r>
      <w:r w:rsidRPr="00E22B55">
        <w:rPr>
          <w:i/>
          <w:lang w:val="en-GB"/>
        </w:rPr>
        <w:t xml:space="preserve">. In order to reduce the administration for individual research groups, Uppsala University has two </w:t>
      </w:r>
      <w:r>
        <w:rPr>
          <w:i/>
          <w:lang w:val="en-GB"/>
        </w:rPr>
        <w:t>blanket</w:t>
      </w:r>
      <w:r w:rsidRPr="00E22B55">
        <w:rPr>
          <w:i/>
          <w:lang w:val="en-GB"/>
        </w:rPr>
        <w:t xml:space="preserve"> permits for "import and use of samples for research, diagnostics and teaching"*, as well as "permits for the import of infectious agents for research, diagnostics and teaching"** from the </w:t>
      </w:r>
      <w:r w:rsidRPr="009D1573">
        <w:rPr>
          <w:i/>
          <w:lang w:val="en-GB"/>
        </w:rPr>
        <w:t>Board o</w:t>
      </w:r>
      <w:r>
        <w:rPr>
          <w:i/>
          <w:lang w:val="en-GB"/>
        </w:rPr>
        <w:t>f Agriculture</w:t>
      </w:r>
      <w:r w:rsidRPr="00E22B55">
        <w:rPr>
          <w:i/>
          <w:lang w:val="en-GB"/>
        </w:rPr>
        <w:t>.</w:t>
      </w:r>
    </w:p>
    <w:p w14:paraId="3718747F" w14:textId="0D4E7CEE" w:rsidR="00E22B55" w:rsidRDefault="00E22B55" w:rsidP="00E22B55">
      <w:pPr>
        <w:spacing w:after="0"/>
        <w:rPr>
          <w:i/>
          <w:lang w:val="en-GB"/>
        </w:rPr>
      </w:pPr>
      <w:r w:rsidRPr="00E22B55">
        <w:rPr>
          <w:i/>
          <w:lang w:val="en-GB"/>
        </w:rPr>
        <w:t xml:space="preserve">However, the head of department is responsible for ensuring that the work is carried out according to legislation, but the various research groups do not need to apply for these permits themselves from the </w:t>
      </w:r>
      <w:r w:rsidRPr="009D1573">
        <w:rPr>
          <w:i/>
          <w:lang w:val="en-GB"/>
        </w:rPr>
        <w:t>Board o</w:t>
      </w:r>
      <w:r>
        <w:rPr>
          <w:i/>
          <w:lang w:val="en-GB"/>
        </w:rPr>
        <w:t>f Agriculture</w:t>
      </w:r>
      <w:r w:rsidRPr="00E22B55">
        <w:rPr>
          <w:i/>
          <w:lang w:val="en-GB"/>
        </w:rPr>
        <w:t xml:space="preserve">, but rather fill in the form below and email to henrik.gradstedt@uu.se before each import. The user and head of department are then </w:t>
      </w:r>
      <w:r w:rsidR="00A46B95">
        <w:rPr>
          <w:i/>
          <w:lang w:val="en-GB"/>
        </w:rPr>
        <w:t xml:space="preserve">sent </w:t>
      </w:r>
      <w:r>
        <w:rPr>
          <w:i/>
          <w:lang w:val="en-GB"/>
        </w:rPr>
        <w:t xml:space="preserve">a </w:t>
      </w:r>
      <w:r w:rsidR="000D5116">
        <w:rPr>
          <w:i/>
          <w:lang w:val="en-GB"/>
        </w:rPr>
        <w:t xml:space="preserve">time limited </w:t>
      </w:r>
      <w:r>
        <w:rPr>
          <w:i/>
          <w:lang w:val="en-GB"/>
        </w:rPr>
        <w:t xml:space="preserve">copy </w:t>
      </w:r>
      <w:r w:rsidRPr="00E22B55">
        <w:rPr>
          <w:i/>
          <w:lang w:val="en-GB"/>
        </w:rPr>
        <w:t xml:space="preserve">the permit and the permit number </w:t>
      </w:r>
      <w:r>
        <w:rPr>
          <w:i/>
          <w:lang w:val="en-GB"/>
        </w:rPr>
        <w:t xml:space="preserve">which </w:t>
      </w:r>
      <w:r w:rsidRPr="00E22B55">
        <w:rPr>
          <w:i/>
          <w:lang w:val="en-GB"/>
        </w:rPr>
        <w:t>is sometimes required by the suppliers before they send</w:t>
      </w:r>
      <w:r>
        <w:rPr>
          <w:i/>
          <w:lang w:val="en-GB"/>
        </w:rPr>
        <w:t xml:space="preserve"> the samples</w:t>
      </w:r>
      <w:r w:rsidRPr="00E22B55">
        <w:rPr>
          <w:i/>
          <w:lang w:val="en-GB"/>
        </w:rPr>
        <w:t xml:space="preserve">. Depending on the material, additional permits or ethical review may be required***, furthermore, the work must be carried out at the </w:t>
      </w:r>
      <w:r>
        <w:rPr>
          <w:i/>
          <w:lang w:val="en-GB"/>
        </w:rPr>
        <w:t xml:space="preserve">legally required </w:t>
      </w:r>
      <w:r w:rsidRPr="00E22B55">
        <w:rPr>
          <w:i/>
          <w:lang w:val="en-GB"/>
        </w:rPr>
        <w:t xml:space="preserve">level of protection, and the conditions specified in the permits must be followed. </w:t>
      </w:r>
      <w:r w:rsidR="00767E05">
        <w:rPr>
          <w:i/>
          <w:lang w:val="en-GB"/>
        </w:rPr>
        <w:t xml:space="preserve">If there are </w:t>
      </w:r>
      <w:r w:rsidRPr="00E22B55">
        <w:rPr>
          <w:i/>
          <w:lang w:val="en-GB"/>
        </w:rPr>
        <w:t xml:space="preserve">any questions about this, or </w:t>
      </w:r>
      <w:r w:rsidR="00767E05">
        <w:rPr>
          <w:i/>
          <w:lang w:val="en-GB"/>
        </w:rPr>
        <w:t xml:space="preserve">a </w:t>
      </w:r>
      <w:r w:rsidRPr="00E22B55">
        <w:rPr>
          <w:i/>
          <w:lang w:val="en-GB"/>
        </w:rPr>
        <w:t xml:space="preserve">need </w:t>
      </w:r>
      <w:r w:rsidR="00767E05">
        <w:rPr>
          <w:i/>
          <w:lang w:val="en-GB"/>
        </w:rPr>
        <w:t xml:space="preserve">for Uppsala University’s </w:t>
      </w:r>
      <w:r w:rsidRPr="00E22B55">
        <w:rPr>
          <w:i/>
          <w:lang w:val="en-GB"/>
        </w:rPr>
        <w:t>biological high-</w:t>
      </w:r>
      <w:r>
        <w:rPr>
          <w:i/>
          <w:lang w:val="en-GB"/>
        </w:rPr>
        <w:t>containment</w:t>
      </w:r>
      <w:r w:rsidRPr="00E22B55">
        <w:rPr>
          <w:i/>
          <w:lang w:val="en-GB"/>
        </w:rPr>
        <w:t xml:space="preserve"> facility****, contact </w:t>
      </w:r>
      <w:hyperlink r:id="rId7" w:history="1">
        <w:r w:rsidRPr="00C4546C">
          <w:rPr>
            <w:rStyle w:val="Hyperlnk"/>
            <w:i/>
            <w:lang w:val="en-GB"/>
          </w:rPr>
          <w:t>henrik.gradstedt@uu.se</w:t>
        </w:r>
      </w:hyperlink>
    </w:p>
    <w:p w14:paraId="12EB2459" w14:textId="0A3D993E" w:rsidR="00767E05" w:rsidRPr="00767E05" w:rsidRDefault="00767E05" w:rsidP="00767E05">
      <w:pPr>
        <w:spacing w:after="0"/>
        <w:rPr>
          <w:i/>
          <w:sz w:val="16"/>
          <w:szCs w:val="16"/>
          <w:lang w:val="en-GB"/>
        </w:rPr>
      </w:pPr>
      <w:r w:rsidRPr="00767E05">
        <w:rPr>
          <w:i/>
          <w:sz w:val="16"/>
          <w:szCs w:val="16"/>
          <w:lang w:val="en-GB"/>
        </w:rPr>
        <w:t>*</w:t>
      </w:r>
    </w:p>
    <w:p w14:paraId="61DE2885" w14:textId="5E95EFD2" w:rsidR="00767E05" w:rsidRPr="00767E05" w:rsidRDefault="00767E05" w:rsidP="00767E05">
      <w:pPr>
        <w:spacing w:after="0"/>
        <w:rPr>
          <w:i/>
          <w:sz w:val="16"/>
          <w:szCs w:val="16"/>
          <w:lang w:val="en-GB"/>
        </w:rPr>
      </w:pPr>
      <w:r w:rsidRPr="00767E05">
        <w:rPr>
          <w:i/>
          <w:sz w:val="16"/>
          <w:szCs w:val="16"/>
          <w:lang w:val="en-GB"/>
        </w:rPr>
        <w:t xml:space="preserve">- Animal by-products, animal fluids, animal tissue, animal carcasses, serum, </w:t>
      </w:r>
      <w:r>
        <w:rPr>
          <w:i/>
          <w:sz w:val="16"/>
          <w:szCs w:val="16"/>
          <w:lang w:val="en-GB"/>
        </w:rPr>
        <w:t xml:space="preserve">dead </w:t>
      </w:r>
      <w:r w:rsidRPr="00767E05">
        <w:rPr>
          <w:i/>
          <w:sz w:val="16"/>
          <w:szCs w:val="16"/>
          <w:lang w:val="en-GB"/>
        </w:rPr>
        <w:t>insects, proteins</w:t>
      </w:r>
      <w:r>
        <w:rPr>
          <w:i/>
          <w:sz w:val="16"/>
          <w:szCs w:val="16"/>
          <w:lang w:val="en-GB"/>
        </w:rPr>
        <w:t xml:space="preserve">, </w:t>
      </w:r>
      <w:r w:rsidRPr="00767E05">
        <w:rPr>
          <w:i/>
          <w:sz w:val="16"/>
          <w:szCs w:val="16"/>
          <w:lang w:val="en-GB"/>
        </w:rPr>
        <w:t>antibodies for research, diagnostic</w:t>
      </w:r>
      <w:r>
        <w:rPr>
          <w:i/>
          <w:sz w:val="16"/>
          <w:szCs w:val="16"/>
          <w:lang w:val="en-GB"/>
        </w:rPr>
        <w:t>,</w:t>
      </w:r>
      <w:r w:rsidRPr="00767E05">
        <w:rPr>
          <w:i/>
          <w:sz w:val="16"/>
          <w:szCs w:val="16"/>
          <w:lang w:val="en-GB"/>
        </w:rPr>
        <w:t xml:space="preserve"> and educational purposes.</w:t>
      </w:r>
    </w:p>
    <w:p w14:paraId="0B01EDC5" w14:textId="171B5FF9" w:rsidR="00767E05" w:rsidRPr="00767E05" w:rsidRDefault="00767E05" w:rsidP="00767E05">
      <w:pPr>
        <w:spacing w:after="0"/>
        <w:rPr>
          <w:i/>
          <w:sz w:val="16"/>
          <w:szCs w:val="16"/>
          <w:lang w:val="en-GB"/>
        </w:rPr>
      </w:pPr>
      <w:r w:rsidRPr="00767E05">
        <w:rPr>
          <w:i/>
          <w:sz w:val="16"/>
          <w:szCs w:val="16"/>
          <w:lang w:val="en-GB"/>
        </w:rPr>
        <w:t xml:space="preserve">- The </w:t>
      </w:r>
      <w:r>
        <w:rPr>
          <w:i/>
          <w:sz w:val="16"/>
          <w:szCs w:val="16"/>
          <w:lang w:val="en-GB"/>
        </w:rPr>
        <w:t xml:space="preserve">permit covers </w:t>
      </w:r>
      <w:r w:rsidRPr="00767E05">
        <w:rPr>
          <w:i/>
          <w:sz w:val="16"/>
          <w:szCs w:val="16"/>
          <w:lang w:val="en-GB"/>
        </w:rPr>
        <w:t xml:space="preserve">imports from all countries outside the EU, Norway and Switzerland. There is no </w:t>
      </w:r>
      <w:r>
        <w:rPr>
          <w:i/>
          <w:sz w:val="16"/>
          <w:szCs w:val="16"/>
          <w:lang w:val="en-GB"/>
        </w:rPr>
        <w:t xml:space="preserve">legal </w:t>
      </w:r>
      <w:r w:rsidRPr="00767E05">
        <w:rPr>
          <w:i/>
          <w:sz w:val="16"/>
          <w:szCs w:val="16"/>
          <w:lang w:val="en-GB"/>
        </w:rPr>
        <w:t>requirement for an import permit for EU countries</w:t>
      </w:r>
      <w:r>
        <w:rPr>
          <w:i/>
          <w:sz w:val="16"/>
          <w:szCs w:val="16"/>
          <w:lang w:val="en-GB"/>
        </w:rPr>
        <w:t xml:space="preserve">, </w:t>
      </w:r>
      <w:r w:rsidRPr="00767E05">
        <w:rPr>
          <w:i/>
          <w:sz w:val="16"/>
          <w:szCs w:val="16"/>
          <w:lang w:val="en-GB"/>
        </w:rPr>
        <w:t>including Norway and Switzerland.</w:t>
      </w:r>
    </w:p>
    <w:p w14:paraId="640B55A3" w14:textId="77777777" w:rsidR="00767E05" w:rsidRPr="00767E05" w:rsidRDefault="00767E05" w:rsidP="00767E05">
      <w:pPr>
        <w:spacing w:after="0"/>
        <w:rPr>
          <w:i/>
          <w:sz w:val="16"/>
          <w:szCs w:val="16"/>
          <w:lang w:val="en-GB"/>
        </w:rPr>
      </w:pPr>
      <w:r w:rsidRPr="00767E05">
        <w:rPr>
          <w:i/>
          <w:sz w:val="16"/>
          <w:szCs w:val="16"/>
          <w:lang w:val="en-GB"/>
        </w:rPr>
        <w:t>**</w:t>
      </w:r>
    </w:p>
    <w:p w14:paraId="21E13B76" w14:textId="4F0B9ABD" w:rsidR="00767E05" w:rsidRPr="00767E05" w:rsidRDefault="00767E05" w:rsidP="00767E05">
      <w:pPr>
        <w:spacing w:after="0"/>
        <w:rPr>
          <w:i/>
          <w:sz w:val="16"/>
          <w:szCs w:val="16"/>
          <w:lang w:val="en-GB"/>
        </w:rPr>
      </w:pPr>
      <w:r w:rsidRPr="00767E05">
        <w:rPr>
          <w:i/>
          <w:sz w:val="16"/>
          <w:szCs w:val="16"/>
          <w:lang w:val="en-GB"/>
        </w:rPr>
        <w:t xml:space="preserve">- Known infectious agents/materials </w:t>
      </w:r>
      <w:r>
        <w:rPr>
          <w:i/>
          <w:sz w:val="16"/>
          <w:szCs w:val="16"/>
          <w:lang w:val="en-GB"/>
        </w:rPr>
        <w:t xml:space="preserve">which </w:t>
      </w:r>
      <w:r w:rsidRPr="00767E05">
        <w:rPr>
          <w:i/>
          <w:sz w:val="16"/>
          <w:szCs w:val="16"/>
          <w:lang w:val="en-GB"/>
        </w:rPr>
        <w:t>can infect animals, as well as currently unknown/unclassified infectious agents/materials, which may be suspected of infecting animals.</w:t>
      </w:r>
    </w:p>
    <w:p w14:paraId="58B2F143" w14:textId="7328E6FA" w:rsidR="00767E05" w:rsidRPr="00767E05" w:rsidRDefault="00767E05" w:rsidP="00767E05">
      <w:pPr>
        <w:spacing w:after="0"/>
        <w:rPr>
          <w:i/>
          <w:sz w:val="16"/>
          <w:szCs w:val="16"/>
          <w:lang w:val="en-GB"/>
        </w:rPr>
      </w:pPr>
      <w:r w:rsidRPr="00767E05">
        <w:rPr>
          <w:i/>
          <w:sz w:val="16"/>
          <w:szCs w:val="16"/>
          <w:lang w:val="en-GB"/>
        </w:rPr>
        <w:t xml:space="preserve">- However, the permit does not cover samples suspected of containing foot-and-mouth disease virus (FMD virus), bluetongue virus, African swine fever virus, transmissible spongiform encephalopathies, </w:t>
      </w:r>
      <w:proofErr w:type="spellStart"/>
      <w:r w:rsidRPr="00767E05">
        <w:rPr>
          <w:i/>
          <w:sz w:val="16"/>
          <w:szCs w:val="16"/>
          <w:lang w:val="en-GB"/>
        </w:rPr>
        <w:t>Aujeszky's</w:t>
      </w:r>
      <w:proofErr w:type="spellEnd"/>
      <w:r w:rsidRPr="00767E05">
        <w:rPr>
          <w:i/>
          <w:sz w:val="16"/>
          <w:szCs w:val="16"/>
          <w:lang w:val="en-GB"/>
        </w:rPr>
        <w:t xml:space="preserve"> virus, bovine herpesvirus type 1, bovine </w:t>
      </w:r>
      <w:proofErr w:type="spellStart"/>
      <w:r w:rsidRPr="00767E05">
        <w:rPr>
          <w:i/>
          <w:sz w:val="16"/>
          <w:szCs w:val="16"/>
          <w:lang w:val="en-GB"/>
        </w:rPr>
        <w:t>leukemia</w:t>
      </w:r>
      <w:proofErr w:type="spellEnd"/>
      <w:r w:rsidRPr="00767E05">
        <w:rPr>
          <w:i/>
          <w:sz w:val="16"/>
          <w:szCs w:val="16"/>
          <w:lang w:val="en-GB"/>
        </w:rPr>
        <w:t xml:space="preserve"> virus, classical swine fever (CSF virus), African horse </w:t>
      </w:r>
      <w:r>
        <w:rPr>
          <w:i/>
          <w:sz w:val="16"/>
          <w:szCs w:val="16"/>
          <w:lang w:val="en-GB"/>
        </w:rPr>
        <w:t>sickness</w:t>
      </w:r>
      <w:r w:rsidRPr="00767E05">
        <w:rPr>
          <w:i/>
          <w:sz w:val="16"/>
          <w:szCs w:val="16"/>
          <w:lang w:val="en-GB"/>
        </w:rPr>
        <w:t xml:space="preserve"> (AHS virus), M. </w:t>
      </w:r>
      <w:proofErr w:type="spellStart"/>
      <w:r w:rsidRPr="00767E05">
        <w:rPr>
          <w:i/>
          <w:sz w:val="16"/>
          <w:szCs w:val="16"/>
          <w:lang w:val="en-GB"/>
        </w:rPr>
        <w:t>capricolum</w:t>
      </w:r>
      <w:proofErr w:type="spellEnd"/>
      <w:r w:rsidRPr="00767E05">
        <w:rPr>
          <w:i/>
          <w:sz w:val="16"/>
          <w:szCs w:val="16"/>
          <w:lang w:val="en-GB"/>
        </w:rPr>
        <w:t xml:space="preserve"> subsp. </w:t>
      </w:r>
      <w:proofErr w:type="spellStart"/>
      <w:r w:rsidRPr="00767E05">
        <w:rPr>
          <w:i/>
          <w:sz w:val="16"/>
          <w:szCs w:val="16"/>
          <w:lang w:val="en-GB"/>
        </w:rPr>
        <w:t>capripneumoniae</w:t>
      </w:r>
      <w:proofErr w:type="spellEnd"/>
      <w:r w:rsidRPr="00767E05">
        <w:rPr>
          <w:i/>
          <w:sz w:val="16"/>
          <w:szCs w:val="16"/>
          <w:lang w:val="en-GB"/>
        </w:rPr>
        <w:t>, sheep/</w:t>
      </w:r>
      <w:proofErr w:type="spellStart"/>
      <w:r w:rsidRPr="00767E05">
        <w:rPr>
          <w:i/>
          <w:sz w:val="16"/>
          <w:szCs w:val="16"/>
          <w:lang w:val="en-GB"/>
        </w:rPr>
        <w:t>goatpox</w:t>
      </w:r>
      <w:proofErr w:type="spellEnd"/>
      <w:r w:rsidRPr="00767E05">
        <w:rPr>
          <w:i/>
          <w:sz w:val="16"/>
          <w:szCs w:val="16"/>
          <w:lang w:val="en-GB"/>
        </w:rPr>
        <w:t xml:space="preserve"> virus, </w:t>
      </w:r>
      <w:proofErr w:type="spellStart"/>
      <w:r w:rsidRPr="00767E05">
        <w:rPr>
          <w:i/>
          <w:sz w:val="16"/>
          <w:szCs w:val="16"/>
          <w:lang w:val="en-GB"/>
        </w:rPr>
        <w:t>peste</w:t>
      </w:r>
      <w:proofErr w:type="spellEnd"/>
      <w:r w:rsidRPr="00767E05">
        <w:rPr>
          <w:i/>
          <w:sz w:val="16"/>
          <w:szCs w:val="16"/>
          <w:lang w:val="en-GB"/>
        </w:rPr>
        <w:t xml:space="preserve"> des petits ruminants (PPR virus), lumpy skin disease (LSD virus), M. mycoides subsp. Capri and rinderpest (rinderpest virus).</w:t>
      </w:r>
    </w:p>
    <w:p w14:paraId="63DE778C" w14:textId="0331FBA9" w:rsidR="00767E05" w:rsidRPr="00767E05" w:rsidRDefault="00767E05" w:rsidP="00767E05">
      <w:pPr>
        <w:spacing w:after="0"/>
        <w:rPr>
          <w:i/>
          <w:sz w:val="16"/>
          <w:szCs w:val="16"/>
          <w:lang w:val="en-GB"/>
        </w:rPr>
      </w:pPr>
      <w:r w:rsidRPr="00767E05">
        <w:rPr>
          <w:i/>
          <w:sz w:val="16"/>
          <w:szCs w:val="16"/>
          <w:lang w:val="en-GB"/>
        </w:rPr>
        <w:t>- The permit applies to all countries for research purposes, diagnostic purposes</w:t>
      </w:r>
      <w:r>
        <w:rPr>
          <w:i/>
          <w:sz w:val="16"/>
          <w:szCs w:val="16"/>
          <w:lang w:val="en-GB"/>
        </w:rPr>
        <w:t>,</w:t>
      </w:r>
      <w:r w:rsidRPr="00767E05">
        <w:rPr>
          <w:i/>
          <w:sz w:val="16"/>
          <w:szCs w:val="16"/>
          <w:lang w:val="en-GB"/>
        </w:rPr>
        <w:t xml:space="preserve"> and teaching purposes.</w:t>
      </w:r>
    </w:p>
    <w:p w14:paraId="10AAFE55" w14:textId="103D9F10" w:rsidR="00E22B55" w:rsidRPr="00767E05" w:rsidRDefault="00767E05" w:rsidP="00E22B55">
      <w:pPr>
        <w:spacing w:after="0"/>
        <w:rPr>
          <w:i/>
          <w:sz w:val="16"/>
          <w:szCs w:val="16"/>
          <w:lang w:val="en-GB"/>
        </w:rPr>
      </w:pPr>
      <w:r w:rsidRPr="00767E05">
        <w:rPr>
          <w:i/>
          <w:sz w:val="16"/>
          <w:szCs w:val="16"/>
          <w:lang w:val="en-GB"/>
        </w:rPr>
        <w:t>- Human pathogens and cell lines are not covered by th</w:t>
      </w:r>
      <w:r>
        <w:rPr>
          <w:i/>
          <w:sz w:val="16"/>
          <w:szCs w:val="16"/>
          <w:lang w:val="en-GB"/>
        </w:rPr>
        <w:t>is</w:t>
      </w:r>
      <w:r w:rsidRPr="00767E05">
        <w:rPr>
          <w:i/>
          <w:sz w:val="16"/>
          <w:szCs w:val="16"/>
          <w:lang w:val="en-GB"/>
        </w:rPr>
        <w:t xml:space="preserve"> permit, as the use permit for these </w:t>
      </w:r>
      <w:r>
        <w:rPr>
          <w:i/>
          <w:sz w:val="16"/>
          <w:szCs w:val="16"/>
          <w:lang w:val="en-GB"/>
        </w:rPr>
        <w:t xml:space="preserve">are </w:t>
      </w:r>
      <w:r w:rsidRPr="00767E05">
        <w:rPr>
          <w:i/>
          <w:sz w:val="16"/>
          <w:szCs w:val="16"/>
          <w:lang w:val="en-GB"/>
        </w:rPr>
        <w:t xml:space="preserve">included in the notification of work with infectious agents/GMM that is made to the Swedish Work Environment </w:t>
      </w:r>
      <w:r>
        <w:rPr>
          <w:i/>
          <w:sz w:val="16"/>
          <w:szCs w:val="16"/>
          <w:lang w:val="en-GB"/>
        </w:rPr>
        <w:t>Authority</w:t>
      </w:r>
      <w:r w:rsidRPr="00767E05">
        <w:rPr>
          <w:i/>
          <w:sz w:val="16"/>
          <w:szCs w:val="16"/>
          <w:lang w:val="en-GB"/>
        </w:rPr>
        <w:t>. Contact henrik.gradstedt@uu.se if you need help with this.</w:t>
      </w:r>
    </w:p>
    <w:p w14:paraId="080B73E3" w14:textId="4A82E56A" w:rsidR="00767E05" w:rsidRPr="00767E05" w:rsidRDefault="00767E05" w:rsidP="00767E05">
      <w:pPr>
        <w:spacing w:after="0" w:line="240" w:lineRule="auto"/>
        <w:rPr>
          <w:sz w:val="16"/>
          <w:szCs w:val="16"/>
        </w:rPr>
      </w:pPr>
      <w:r w:rsidRPr="00767E05">
        <w:rPr>
          <w:sz w:val="16"/>
          <w:szCs w:val="16"/>
        </w:rPr>
        <w:t>***</w:t>
      </w:r>
      <w:r w:rsidR="003C49D3">
        <w:rPr>
          <w:sz w:val="16"/>
          <w:szCs w:val="16"/>
        </w:rPr>
        <w:t xml:space="preserve"> </w:t>
      </w:r>
      <w:r w:rsidR="004B3E10" w:rsidRPr="004B3E10">
        <w:rPr>
          <w:sz w:val="16"/>
          <w:szCs w:val="16"/>
        </w:rPr>
        <w:t>https://www.uu.se/en/staff/gateway/research/research-handbook/research-ethics/permits-and-ethical-review</w:t>
      </w:r>
    </w:p>
    <w:p w14:paraId="276A6E0C" w14:textId="1FB32BC8" w:rsidR="00612855" w:rsidRDefault="00767E05" w:rsidP="00612855">
      <w:pPr>
        <w:spacing w:after="0" w:line="240" w:lineRule="auto"/>
        <w:rPr>
          <w:sz w:val="16"/>
          <w:szCs w:val="16"/>
        </w:rPr>
      </w:pPr>
      <w:r w:rsidRPr="00767E05">
        <w:rPr>
          <w:sz w:val="16"/>
          <w:szCs w:val="16"/>
        </w:rPr>
        <w:t>****</w:t>
      </w:r>
      <w:r w:rsidR="003C49D3">
        <w:rPr>
          <w:sz w:val="16"/>
          <w:szCs w:val="16"/>
        </w:rPr>
        <w:t xml:space="preserve"> </w:t>
      </w:r>
      <w:hyperlink r:id="rId8" w:history="1">
        <w:r w:rsidR="00612855" w:rsidRPr="00C4546C">
          <w:rPr>
            <w:rStyle w:val="Hyperlnk"/>
            <w:sz w:val="16"/>
            <w:szCs w:val="16"/>
          </w:rPr>
          <w:t>https://www.uu.se/en/department/medical-biochemistry-and-microbiology/research/lundkvist-ake/bsl3-lab</w:t>
        </w:r>
      </w:hyperlink>
    </w:p>
    <w:p w14:paraId="20F78488" w14:textId="77777777" w:rsidR="00612855" w:rsidRDefault="00612855">
      <w:pPr>
        <w:rPr>
          <w:sz w:val="16"/>
          <w:szCs w:val="16"/>
        </w:rPr>
      </w:pPr>
      <w:r>
        <w:rPr>
          <w:sz w:val="16"/>
          <w:szCs w:val="16"/>
        </w:rPr>
        <w:br w:type="page"/>
      </w:r>
    </w:p>
    <w:p w14:paraId="20E6E4C4" w14:textId="77777777" w:rsidR="0044352A" w:rsidRPr="00612855" w:rsidRDefault="0044352A" w:rsidP="00612855">
      <w:pPr>
        <w:spacing w:after="0" w:line="240" w:lineRule="auto"/>
        <w:rPr>
          <w:sz w:val="16"/>
          <w:szCs w:val="16"/>
        </w:rPr>
      </w:pPr>
    </w:p>
    <w:tbl>
      <w:tblPr>
        <w:tblStyle w:val="Tabellrutnt"/>
        <w:tblW w:w="5000" w:type="pct"/>
        <w:tblLook w:val="04A0" w:firstRow="1" w:lastRow="0" w:firstColumn="1" w:lastColumn="0" w:noHBand="0" w:noVBand="1"/>
      </w:tblPr>
      <w:tblGrid>
        <w:gridCol w:w="1343"/>
        <w:gridCol w:w="1197"/>
        <w:gridCol w:w="1798"/>
        <w:gridCol w:w="2397"/>
        <w:gridCol w:w="1047"/>
        <w:gridCol w:w="1649"/>
        <w:gridCol w:w="1798"/>
        <w:gridCol w:w="3148"/>
        <w:gridCol w:w="1883"/>
      </w:tblGrid>
      <w:tr w:rsidR="008F4E2E" w:rsidRPr="004A3697" w14:paraId="7F908FDC" w14:textId="77777777" w:rsidTr="009B0A91">
        <w:tc>
          <w:tcPr>
            <w:tcW w:w="413" w:type="pct"/>
          </w:tcPr>
          <w:p w14:paraId="4E454361" w14:textId="77777777" w:rsidR="00E64D8C" w:rsidRDefault="008F4E2E" w:rsidP="00D27855">
            <w:r>
              <w:t>Institution</w:t>
            </w:r>
          </w:p>
          <w:p w14:paraId="33AA83A8" w14:textId="77777777" w:rsidR="009B0A91" w:rsidRDefault="009B0A91" w:rsidP="00D27855">
            <w:pPr>
              <w:rPr>
                <w:i/>
                <w:lang w:val="en-GB"/>
              </w:rPr>
            </w:pPr>
          </w:p>
          <w:p w14:paraId="3251A085" w14:textId="5E1701BC" w:rsidR="009D1573" w:rsidRPr="009D1573" w:rsidRDefault="009D1573" w:rsidP="00D27855">
            <w:pPr>
              <w:rPr>
                <w:i/>
                <w:lang w:val="en-GB"/>
              </w:rPr>
            </w:pPr>
            <w:r w:rsidRPr="009D1573">
              <w:rPr>
                <w:i/>
                <w:lang w:val="en-GB"/>
              </w:rPr>
              <w:t>Institution</w:t>
            </w:r>
          </w:p>
        </w:tc>
        <w:tc>
          <w:tcPr>
            <w:tcW w:w="368" w:type="pct"/>
          </w:tcPr>
          <w:p w14:paraId="369A5093" w14:textId="77777777" w:rsidR="008F4E2E" w:rsidRDefault="008F4E2E" w:rsidP="00D27855">
            <w:r>
              <w:t>Grupp</w:t>
            </w:r>
          </w:p>
          <w:p w14:paraId="4B49BEE7" w14:textId="77777777" w:rsidR="009B0A91" w:rsidRDefault="009B0A91" w:rsidP="00D27855">
            <w:pPr>
              <w:rPr>
                <w:i/>
                <w:lang w:val="en-GB"/>
              </w:rPr>
            </w:pPr>
          </w:p>
          <w:p w14:paraId="0087E949" w14:textId="2F898F43" w:rsidR="009D1573" w:rsidRPr="009D1573" w:rsidRDefault="009D1573" w:rsidP="00D27855">
            <w:pPr>
              <w:rPr>
                <w:i/>
                <w:lang w:val="en-GB"/>
              </w:rPr>
            </w:pPr>
            <w:r w:rsidRPr="009D1573">
              <w:rPr>
                <w:i/>
                <w:lang w:val="en-GB"/>
              </w:rPr>
              <w:t>Group</w:t>
            </w:r>
          </w:p>
        </w:tc>
        <w:tc>
          <w:tcPr>
            <w:tcW w:w="553" w:type="pct"/>
          </w:tcPr>
          <w:p w14:paraId="30B9BE19" w14:textId="77777777" w:rsidR="008F4E2E" w:rsidRDefault="008F4E2E" w:rsidP="00D27855">
            <w:r>
              <w:t>Kontaktperson</w:t>
            </w:r>
          </w:p>
          <w:p w14:paraId="56DF716A" w14:textId="77777777" w:rsidR="009B0A91" w:rsidRDefault="009B0A91" w:rsidP="00D27855">
            <w:pPr>
              <w:rPr>
                <w:i/>
              </w:rPr>
            </w:pPr>
          </w:p>
          <w:p w14:paraId="790D3643" w14:textId="672D7B48" w:rsidR="007F09C5" w:rsidRPr="007F09C5" w:rsidRDefault="007F09C5" w:rsidP="00D27855">
            <w:pPr>
              <w:rPr>
                <w:i/>
              </w:rPr>
            </w:pPr>
            <w:r w:rsidRPr="007F09C5">
              <w:rPr>
                <w:i/>
              </w:rPr>
              <w:t>Contact person</w:t>
            </w:r>
          </w:p>
        </w:tc>
        <w:tc>
          <w:tcPr>
            <w:tcW w:w="737" w:type="pct"/>
          </w:tcPr>
          <w:p w14:paraId="7BA7CB0A" w14:textId="77777777" w:rsidR="008F4E2E" w:rsidRDefault="008F4E2E" w:rsidP="00D27855">
            <w:r>
              <w:t>Prov</w:t>
            </w:r>
            <w:r w:rsidR="000C3517">
              <w:t xml:space="preserve"> (art, stam,  produkt eller motsvarande)  och </w:t>
            </w:r>
            <w:r>
              <w:t>mängd</w:t>
            </w:r>
          </w:p>
          <w:p w14:paraId="365FE9B3" w14:textId="77777777" w:rsidR="009B0A91" w:rsidRPr="004A3697" w:rsidRDefault="009B0A91" w:rsidP="00D27855">
            <w:pPr>
              <w:rPr>
                <w:i/>
              </w:rPr>
            </w:pPr>
          </w:p>
          <w:p w14:paraId="0AE790A5" w14:textId="550EDDCD" w:rsidR="007F09C5" w:rsidRPr="007F09C5" w:rsidRDefault="007F09C5" w:rsidP="00D27855">
            <w:pPr>
              <w:rPr>
                <w:i/>
                <w:lang w:val="en-GB"/>
              </w:rPr>
            </w:pPr>
            <w:r w:rsidRPr="007F09C5">
              <w:rPr>
                <w:i/>
                <w:lang w:val="en-GB"/>
              </w:rPr>
              <w:t>Sample (species, strain, product or equivalent) and amount</w:t>
            </w:r>
          </w:p>
        </w:tc>
        <w:tc>
          <w:tcPr>
            <w:tcW w:w="322" w:type="pct"/>
          </w:tcPr>
          <w:p w14:paraId="050D6F3B" w14:textId="77777777" w:rsidR="008F4E2E" w:rsidRDefault="008F4E2E" w:rsidP="00D27855">
            <w:r>
              <w:t>Datum för införsel</w:t>
            </w:r>
          </w:p>
          <w:p w14:paraId="318139B2" w14:textId="77777777" w:rsidR="009B0A91" w:rsidRPr="004A3697" w:rsidRDefault="009B0A91" w:rsidP="00D27855">
            <w:pPr>
              <w:rPr>
                <w:i/>
              </w:rPr>
            </w:pPr>
          </w:p>
          <w:p w14:paraId="70A4C2F6" w14:textId="189544E8" w:rsidR="007F09C5" w:rsidRPr="004A3697" w:rsidRDefault="007F09C5" w:rsidP="00D27855">
            <w:pPr>
              <w:rPr>
                <w:i/>
              </w:rPr>
            </w:pPr>
            <w:r w:rsidRPr="004A3697">
              <w:rPr>
                <w:i/>
              </w:rPr>
              <w:t xml:space="preserve">Date </w:t>
            </w:r>
            <w:proofErr w:type="spellStart"/>
            <w:r w:rsidRPr="004A3697">
              <w:rPr>
                <w:i/>
              </w:rPr>
              <w:t>of</w:t>
            </w:r>
            <w:proofErr w:type="spellEnd"/>
            <w:r w:rsidRPr="004A3697">
              <w:rPr>
                <w:i/>
              </w:rPr>
              <w:t xml:space="preserve"> import</w:t>
            </w:r>
          </w:p>
        </w:tc>
        <w:tc>
          <w:tcPr>
            <w:tcW w:w="507" w:type="pct"/>
          </w:tcPr>
          <w:p w14:paraId="1ADDA212" w14:textId="77777777" w:rsidR="008F4E2E" w:rsidRPr="004A3697" w:rsidRDefault="008F4E2E" w:rsidP="00D27855">
            <w:pPr>
              <w:rPr>
                <w:lang w:val="en-US"/>
              </w:rPr>
            </w:pPr>
            <w:proofErr w:type="spellStart"/>
            <w:r w:rsidRPr="004A3697">
              <w:rPr>
                <w:lang w:val="en-US"/>
              </w:rPr>
              <w:t>Från</w:t>
            </w:r>
            <w:proofErr w:type="spellEnd"/>
            <w:r w:rsidRPr="004A3697">
              <w:rPr>
                <w:lang w:val="en-US"/>
              </w:rPr>
              <w:t xml:space="preserve"> </w:t>
            </w:r>
            <w:proofErr w:type="spellStart"/>
            <w:r w:rsidRPr="004A3697">
              <w:rPr>
                <w:lang w:val="en-US"/>
              </w:rPr>
              <w:t>vilket</w:t>
            </w:r>
            <w:proofErr w:type="spellEnd"/>
            <w:r w:rsidRPr="004A3697">
              <w:rPr>
                <w:lang w:val="en-US"/>
              </w:rPr>
              <w:t xml:space="preserve"> land</w:t>
            </w:r>
          </w:p>
          <w:p w14:paraId="207511DC" w14:textId="77777777" w:rsidR="009B0A91" w:rsidRDefault="009B0A91" w:rsidP="00D27855">
            <w:pPr>
              <w:rPr>
                <w:i/>
                <w:lang w:val="en-GB"/>
              </w:rPr>
            </w:pPr>
          </w:p>
          <w:p w14:paraId="7BD839F8" w14:textId="458F2B18" w:rsidR="007F09C5" w:rsidRPr="007F09C5" w:rsidRDefault="007F09C5" w:rsidP="00D27855">
            <w:pPr>
              <w:rPr>
                <w:i/>
                <w:lang w:val="en-GB"/>
              </w:rPr>
            </w:pPr>
            <w:r w:rsidRPr="007F09C5">
              <w:rPr>
                <w:i/>
                <w:lang w:val="en-GB"/>
              </w:rPr>
              <w:t>From which country</w:t>
            </w:r>
          </w:p>
        </w:tc>
        <w:tc>
          <w:tcPr>
            <w:tcW w:w="553" w:type="pct"/>
          </w:tcPr>
          <w:p w14:paraId="5A22C614" w14:textId="77777777" w:rsidR="008F4E2E" w:rsidRDefault="008F4E2E" w:rsidP="00D27855">
            <w:r>
              <w:t>Översiktlig beskrivning av arbetet</w:t>
            </w:r>
          </w:p>
          <w:p w14:paraId="5D8090B6" w14:textId="77777777" w:rsidR="009B0A91" w:rsidRPr="004A3697" w:rsidRDefault="009B0A91" w:rsidP="00D27855">
            <w:pPr>
              <w:rPr>
                <w:i/>
              </w:rPr>
            </w:pPr>
          </w:p>
          <w:p w14:paraId="3134E0CC" w14:textId="463AEC1B" w:rsidR="007F09C5" w:rsidRPr="004A3697" w:rsidRDefault="009B0A91" w:rsidP="00D27855">
            <w:pPr>
              <w:rPr>
                <w:i/>
              </w:rPr>
            </w:pPr>
            <w:proofErr w:type="spellStart"/>
            <w:r w:rsidRPr="004A3697">
              <w:rPr>
                <w:i/>
              </w:rPr>
              <w:t>Cursory</w:t>
            </w:r>
            <w:proofErr w:type="spellEnd"/>
            <w:r w:rsidR="007F09C5" w:rsidRPr="004A3697">
              <w:rPr>
                <w:i/>
              </w:rPr>
              <w:t xml:space="preserve"> </w:t>
            </w:r>
            <w:proofErr w:type="spellStart"/>
            <w:r w:rsidR="007F09C5" w:rsidRPr="004A3697">
              <w:rPr>
                <w:i/>
              </w:rPr>
              <w:t>description</w:t>
            </w:r>
            <w:proofErr w:type="spellEnd"/>
            <w:r w:rsidR="007F09C5" w:rsidRPr="004A3697">
              <w:rPr>
                <w:i/>
              </w:rPr>
              <w:t xml:space="preserve"> </w:t>
            </w:r>
            <w:proofErr w:type="spellStart"/>
            <w:r w:rsidR="007F09C5" w:rsidRPr="004A3697">
              <w:rPr>
                <w:i/>
              </w:rPr>
              <w:t>of</w:t>
            </w:r>
            <w:proofErr w:type="spellEnd"/>
            <w:r w:rsidR="007F09C5" w:rsidRPr="004A3697">
              <w:rPr>
                <w:i/>
              </w:rPr>
              <w:t xml:space="preserve"> the </w:t>
            </w:r>
            <w:proofErr w:type="spellStart"/>
            <w:r w:rsidRPr="004A3697">
              <w:rPr>
                <w:i/>
              </w:rPr>
              <w:t>work</w:t>
            </w:r>
            <w:proofErr w:type="spellEnd"/>
          </w:p>
        </w:tc>
        <w:tc>
          <w:tcPr>
            <w:tcW w:w="968" w:type="pct"/>
          </w:tcPr>
          <w:p w14:paraId="1187BDAB" w14:textId="77777777" w:rsidR="008F4E2E" w:rsidRPr="004A3697" w:rsidRDefault="008F4E2E" w:rsidP="002751B2">
            <w:pPr>
              <w:rPr>
                <w:lang w:val="en-US"/>
              </w:rPr>
            </w:pPr>
            <w:r>
              <w:t>Kan provet innebära fara för miljö eller människa</w:t>
            </w:r>
            <w:r w:rsidR="006D4179">
              <w:t>, t.ex. som smitta eller invasiv art</w:t>
            </w:r>
            <w:r>
              <w:t xml:space="preserve">? </w:t>
            </w:r>
            <w:r w:rsidRPr="004A3697">
              <w:rPr>
                <w:lang w:val="en-US"/>
              </w:rPr>
              <w:t>Om ja</w:t>
            </w:r>
            <w:r w:rsidR="007633B0" w:rsidRPr="004A3697">
              <w:rPr>
                <w:lang w:val="en-US"/>
              </w:rPr>
              <w:t>,</w:t>
            </w:r>
            <w:r w:rsidRPr="004A3697">
              <w:rPr>
                <w:lang w:val="en-US"/>
              </w:rPr>
              <w:t xml:space="preserve"> </w:t>
            </w:r>
            <w:proofErr w:type="spellStart"/>
            <w:r w:rsidRPr="004A3697">
              <w:rPr>
                <w:lang w:val="en-US"/>
              </w:rPr>
              <w:t>specificera</w:t>
            </w:r>
            <w:proofErr w:type="spellEnd"/>
          </w:p>
          <w:p w14:paraId="35DB8AEC" w14:textId="77777777" w:rsidR="009B0A91" w:rsidRDefault="009B0A91" w:rsidP="009B0A91">
            <w:pPr>
              <w:rPr>
                <w:i/>
                <w:lang w:val="en-GB"/>
              </w:rPr>
            </w:pPr>
          </w:p>
          <w:p w14:paraId="346A213B" w14:textId="283C8C35" w:rsidR="009B0A91" w:rsidRPr="009B0A91" w:rsidRDefault="009B0A91" w:rsidP="009B0A91">
            <w:pPr>
              <w:rPr>
                <w:i/>
                <w:lang w:val="en-GB"/>
              </w:rPr>
            </w:pPr>
            <w:r w:rsidRPr="009B0A91">
              <w:rPr>
                <w:i/>
                <w:lang w:val="en-GB"/>
              </w:rPr>
              <w:t>Can the sample constitute a risk for the environment or humans, e.g. as infectious agent or invasive species? If yes, specify.</w:t>
            </w:r>
          </w:p>
        </w:tc>
        <w:tc>
          <w:tcPr>
            <w:tcW w:w="579" w:type="pct"/>
          </w:tcPr>
          <w:p w14:paraId="21DA765A" w14:textId="77777777" w:rsidR="008F4E2E" w:rsidRPr="004A3697" w:rsidRDefault="008F4E2E" w:rsidP="002751B2">
            <w:pPr>
              <w:rPr>
                <w:lang w:val="en-US"/>
              </w:rPr>
            </w:pPr>
            <w:proofErr w:type="spellStart"/>
            <w:r w:rsidRPr="004A3697">
              <w:rPr>
                <w:lang w:val="en-US"/>
              </w:rPr>
              <w:t>Skyddsåtgärder</w:t>
            </w:r>
            <w:proofErr w:type="spellEnd"/>
            <w:r w:rsidR="00651BA8" w:rsidRPr="004A3697">
              <w:rPr>
                <w:lang w:val="en-US"/>
              </w:rPr>
              <w:t xml:space="preserve">, </w:t>
            </w:r>
            <w:proofErr w:type="spellStart"/>
            <w:r w:rsidR="00651BA8" w:rsidRPr="004A3697">
              <w:rPr>
                <w:lang w:val="en-US"/>
              </w:rPr>
              <w:t>inklusive</w:t>
            </w:r>
            <w:proofErr w:type="spellEnd"/>
            <w:r w:rsidR="00651BA8" w:rsidRPr="004A3697">
              <w:rPr>
                <w:lang w:val="en-US"/>
              </w:rPr>
              <w:t xml:space="preserve"> </w:t>
            </w:r>
            <w:proofErr w:type="spellStart"/>
            <w:r w:rsidR="00651BA8" w:rsidRPr="004A3697">
              <w:rPr>
                <w:lang w:val="en-US"/>
              </w:rPr>
              <w:t>avfallshantering</w:t>
            </w:r>
            <w:proofErr w:type="spellEnd"/>
          </w:p>
          <w:p w14:paraId="7523EFD3" w14:textId="77777777" w:rsidR="009B0A91" w:rsidRDefault="009B0A91" w:rsidP="002751B2">
            <w:pPr>
              <w:rPr>
                <w:i/>
                <w:lang w:val="en-GB"/>
              </w:rPr>
            </w:pPr>
          </w:p>
          <w:p w14:paraId="6689A607" w14:textId="426D4604" w:rsidR="009B0A91" w:rsidRPr="009B0A91" w:rsidRDefault="009B0A91" w:rsidP="002751B2">
            <w:pPr>
              <w:rPr>
                <w:i/>
                <w:lang w:val="en-GB"/>
              </w:rPr>
            </w:pPr>
            <w:r w:rsidRPr="009B0A91">
              <w:rPr>
                <w:i/>
                <w:lang w:val="en-GB"/>
              </w:rPr>
              <w:t>Containment measures including waste management</w:t>
            </w:r>
          </w:p>
        </w:tc>
      </w:tr>
      <w:tr w:rsidR="008F4E2E" w:rsidRPr="004A3697" w14:paraId="0FDE039F" w14:textId="77777777" w:rsidTr="009B0A91">
        <w:tc>
          <w:tcPr>
            <w:tcW w:w="413" w:type="pct"/>
          </w:tcPr>
          <w:p w14:paraId="67EBDCA9" w14:textId="77777777" w:rsidR="008F4E2E" w:rsidRPr="009B0A91" w:rsidRDefault="008F4E2E" w:rsidP="00D27855">
            <w:pPr>
              <w:rPr>
                <w:lang w:val="en-US"/>
              </w:rPr>
            </w:pPr>
          </w:p>
        </w:tc>
        <w:tc>
          <w:tcPr>
            <w:tcW w:w="368" w:type="pct"/>
          </w:tcPr>
          <w:p w14:paraId="5E7D3568" w14:textId="77777777" w:rsidR="008F4E2E" w:rsidRPr="009B0A91" w:rsidRDefault="008F4E2E" w:rsidP="00D27855">
            <w:pPr>
              <w:rPr>
                <w:lang w:val="en-US"/>
              </w:rPr>
            </w:pPr>
          </w:p>
        </w:tc>
        <w:tc>
          <w:tcPr>
            <w:tcW w:w="553" w:type="pct"/>
          </w:tcPr>
          <w:p w14:paraId="0476B3D9" w14:textId="77777777" w:rsidR="008F4E2E" w:rsidRPr="009B0A91" w:rsidRDefault="008F4E2E" w:rsidP="00D27855">
            <w:pPr>
              <w:rPr>
                <w:lang w:val="en-US"/>
              </w:rPr>
            </w:pPr>
          </w:p>
        </w:tc>
        <w:tc>
          <w:tcPr>
            <w:tcW w:w="737" w:type="pct"/>
          </w:tcPr>
          <w:p w14:paraId="58DE2FDF" w14:textId="77777777" w:rsidR="008F4E2E" w:rsidRPr="009B0A91" w:rsidRDefault="008F4E2E" w:rsidP="00D27855">
            <w:pPr>
              <w:rPr>
                <w:lang w:val="en-US"/>
              </w:rPr>
            </w:pPr>
          </w:p>
        </w:tc>
        <w:tc>
          <w:tcPr>
            <w:tcW w:w="322" w:type="pct"/>
          </w:tcPr>
          <w:p w14:paraId="5EDF6603" w14:textId="77777777" w:rsidR="008F4E2E" w:rsidRPr="009B0A91" w:rsidRDefault="008F4E2E" w:rsidP="00D27855">
            <w:pPr>
              <w:rPr>
                <w:lang w:val="en-US"/>
              </w:rPr>
            </w:pPr>
          </w:p>
        </w:tc>
        <w:tc>
          <w:tcPr>
            <w:tcW w:w="507" w:type="pct"/>
          </w:tcPr>
          <w:p w14:paraId="3B595F6D" w14:textId="77777777" w:rsidR="008F4E2E" w:rsidRPr="009B0A91" w:rsidRDefault="008F4E2E" w:rsidP="00D27855">
            <w:pPr>
              <w:rPr>
                <w:lang w:val="en-US"/>
              </w:rPr>
            </w:pPr>
          </w:p>
        </w:tc>
        <w:tc>
          <w:tcPr>
            <w:tcW w:w="553" w:type="pct"/>
          </w:tcPr>
          <w:p w14:paraId="6EAEA65F" w14:textId="77777777" w:rsidR="008F4E2E" w:rsidRPr="009B0A91" w:rsidRDefault="008F4E2E" w:rsidP="00D27855">
            <w:pPr>
              <w:rPr>
                <w:lang w:val="en-US"/>
              </w:rPr>
            </w:pPr>
          </w:p>
        </w:tc>
        <w:tc>
          <w:tcPr>
            <w:tcW w:w="968" w:type="pct"/>
          </w:tcPr>
          <w:p w14:paraId="3D31792E" w14:textId="77777777" w:rsidR="008F4E2E" w:rsidRPr="009B0A91" w:rsidRDefault="008F4E2E" w:rsidP="00D27855">
            <w:pPr>
              <w:rPr>
                <w:lang w:val="en-US"/>
              </w:rPr>
            </w:pPr>
          </w:p>
        </w:tc>
        <w:tc>
          <w:tcPr>
            <w:tcW w:w="579" w:type="pct"/>
          </w:tcPr>
          <w:p w14:paraId="2E02BE7E" w14:textId="77777777" w:rsidR="008F4E2E" w:rsidRPr="009B0A91" w:rsidRDefault="008F4E2E" w:rsidP="00D27855">
            <w:pPr>
              <w:rPr>
                <w:lang w:val="en-US"/>
              </w:rPr>
            </w:pPr>
          </w:p>
        </w:tc>
      </w:tr>
      <w:tr w:rsidR="008F4E2E" w:rsidRPr="004A3697" w14:paraId="213E6A23" w14:textId="77777777" w:rsidTr="009B0A91">
        <w:tc>
          <w:tcPr>
            <w:tcW w:w="413" w:type="pct"/>
          </w:tcPr>
          <w:p w14:paraId="533DA2F5" w14:textId="77777777" w:rsidR="008F4E2E" w:rsidRPr="009B0A91" w:rsidRDefault="008F4E2E" w:rsidP="00D27855">
            <w:pPr>
              <w:rPr>
                <w:lang w:val="en-US"/>
              </w:rPr>
            </w:pPr>
          </w:p>
        </w:tc>
        <w:tc>
          <w:tcPr>
            <w:tcW w:w="368" w:type="pct"/>
          </w:tcPr>
          <w:p w14:paraId="7EA173AE" w14:textId="77777777" w:rsidR="008F4E2E" w:rsidRPr="009B0A91" w:rsidRDefault="008F4E2E" w:rsidP="00D27855">
            <w:pPr>
              <w:rPr>
                <w:lang w:val="en-US"/>
              </w:rPr>
            </w:pPr>
          </w:p>
        </w:tc>
        <w:tc>
          <w:tcPr>
            <w:tcW w:w="553" w:type="pct"/>
          </w:tcPr>
          <w:p w14:paraId="12DFE2E2" w14:textId="77777777" w:rsidR="008F4E2E" w:rsidRPr="009B0A91" w:rsidRDefault="008F4E2E" w:rsidP="00D27855">
            <w:pPr>
              <w:rPr>
                <w:lang w:val="en-US"/>
              </w:rPr>
            </w:pPr>
          </w:p>
        </w:tc>
        <w:tc>
          <w:tcPr>
            <w:tcW w:w="737" w:type="pct"/>
          </w:tcPr>
          <w:p w14:paraId="320FB791" w14:textId="77777777" w:rsidR="008F4E2E" w:rsidRPr="009B0A91" w:rsidRDefault="008F4E2E" w:rsidP="00D27855">
            <w:pPr>
              <w:rPr>
                <w:lang w:val="en-US"/>
              </w:rPr>
            </w:pPr>
          </w:p>
        </w:tc>
        <w:tc>
          <w:tcPr>
            <w:tcW w:w="322" w:type="pct"/>
          </w:tcPr>
          <w:p w14:paraId="200209BF" w14:textId="77777777" w:rsidR="008F4E2E" w:rsidRPr="009B0A91" w:rsidRDefault="008F4E2E" w:rsidP="00D27855">
            <w:pPr>
              <w:rPr>
                <w:lang w:val="en-US"/>
              </w:rPr>
            </w:pPr>
          </w:p>
        </w:tc>
        <w:tc>
          <w:tcPr>
            <w:tcW w:w="507" w:type="pct"/>
          </w:tcPr>
          <w:p w14:paraId="093CB696" w14:textId="77777777" w:rsidR="008F4E2E" w:rsidRPr="009B0A91" w:rsidRDefault="008F4E2E" w:rsidP="00D27855">
            <w:pPr>
              <w:rPr>
                <w:lang w:val="en-US"/>
              </w:rPr>
            </w:pPr>
          </w:p>
        </w:tc>
        <w:tc>
          <w:tcPr>
            <w:tcW w:w="553" w:type="pct"/>
          </w:tcPr>
          <w:p w14:paraId="793555EE" w14:textId="77777777" w:rsidR="008F4E2E" w:rsidRPr="009B0A91" w:rsidRDefault="008F4E2E" w:rsidP="00D27855">
            <w:pPr>
              <w:rPr>
                <w:lang w:val="en-US"/>
              </w:rPr>
            </w:pPr>
          </w:p>
        </w:tc>
        <w:tc>
          <w:tcPr>
            <w:tcW w:w="968" w:type="pct"/>
          </w:tcPr>
          <w:p w14:paraId="0E2E8992" w14:textId="77777777" w:rsidR="008F4E2E" w:rsidRPr="009B0A91" w:rsidRDefault="008F4E2E" w:rsidP="00D27855">
            <w:pPr>
              <w:rPr>
                <w:lang w:val="en-US"/>
              </w:rPr>
            </w:pPr>
          </w:p>
        </w:tc>
        <w:tc>
          <w:tcPr>
            <w:tcW w:w="579" w:type="pct"/>
          </w:tcPr>
          <w:p w14:paraId="2A604E21" w14:textId="77777777" w:rsidR="008F4E2E" w:rsidRPr="009B0A91" w:rsidRDefault="008F4E2E" w:rsidP="00D27855">
            <w:pPr>
              <w:rPr>
                <w:lang w:val="en-US"/>
              </w:rPr>
            </w:pPr>
          </w:p>
        </w:tc>
      </w:tr>
      <w:tr w:rsidR="008F4E2E" w:rsidRPr="004A3697" w14:paraId="5A794166" w14:textId="77777777" w:rsidTr="009B0A91">
        <w:tc>
          <w:tcPr>
            <w:tcW w:w="413" w:type="pct"/>
          </w:tcPr>
          <w:p w14:paraId="727A7C5B" w14:textId="77777777" w:rsidR="008F4E2E" w:rsidRPr="009B0A91" w:rsidRDefault="008F4E2E" w:rsidP="00D27855">
            <w:pPr>
              <w:rPr>
                <w:lang w:val="en-US"/>
              </w:rPr>
            </w:pPr>
          </w:p>
        </w:tc>
        <w:tc>
          <w:tcPr>
            <w:tcW w:w="368" w:type="pct"/>
          </w:tcPr>
          <w:p w14:paraId="60019F60" w14:textId="77777777" w:rsidR="008F4E2E" w:rsidRPr="009B0A91" w:rsidRDefault="008F4E2E" w:rsidP="00D27855">
            <w:pPr>
              <w:rPr>
                <w:lang w:val="en-US"/>
              </w:rPr>
            </w:pPr>
          </w:p>
        </w:tc>
        <w:tc>
          <w:tcPr>
            <w:tcW w:w="553" w:type="pct"/>
          </w:tcPr>
          <w:p w14:paraId="394C0A81" w14:textId="77777777" w:rsidR="008F4E2E" w:rsidRPr="009B0A91" w:rsidRDefault="008F4E2E" w:rsidP="00D27855">
            <w:pPr>
              <w:rPr>
                <w:lang w:val="en-US"/>
              </w:rPr>
            </w:pPr>
          </w:p>
        </w:tc>
        <w:tc>
          <w:tcPr>
            <w:tcW w:w="737" w:type="pct"/>
          </w:tcPr>
          <w:p w14:paraId="353BCE88" w14:textId="77777777" w:rsidR="008F4E2E" w:rsidRPr="009B0A91" w:rsidRDefault="008F4E2E" w:rsidP="00D27855">
            <w:pPr>
              <w:rPr>
                <w:lang w:val="en-US"/>
              </w:rPr>
            </w:pPr>
          </w:p>
        </w:tc>
        <w:tc>
          <w:tcPr>
            <w:tcW w:w="322" w:type="pct"/>
          </w:tcPr>
          <w:p w14:paraId="526EFED0" w14:textId="77777777" w:rsidR="008F4E2E" w:rsidRPr="009B0A91" w:rsidRDefault="008F4E2E" w:rsidP="00D27855">
            <w:pPr>
              <w:rPr>
                <w:lang w:val="en-US"/>
              </w:rPr>
            </w:pPr>
          </w:p>
        </w:tc>
        <w:tc>
          <w:tcPr>
            <w:tcW w:w="507" w:type="pct"/>
          </w:tcPr>
          <w:p w14:paraId="07324F60" w14:textId="77777777" w:rsidR="008F4E2E" w:rsidRPr="009B0A91" w:rsidRDefault="008F4E2E" w:rsidP="00D27855">
            <w:pPr>
              <w:rPr>
                <w:lang w:val="en-US"/>
              </w:rPr>
            </w:pPr>
          </w:p>
        </w:tc>
        <w:tc>
          <w:tcPr>
            <w:tcW w:w="553" w:type="pct"/>
          </w:tcPr>
          <w:p w14:paraId="301BD93D" w14:textId="77777777" w:rsidR="008F4E2E" w:rsidRPr="009B0A91" w:rsidRDefault="008F4E2E" w:rsidP="00D27855">
            <w:pPr>
              <w:rPr>
                <w:lang w:val="en-US"/>
              </w:rPr>
            </w:pPr>
          </w:p>
        </w:tc>
        <w:tc>
          <w:tcPr>
            <w:tcW w:w="968" w:type="pct"/>
          </w:tcPr>
          <w:p w14:paraId="3769B7F3" w14:textId="77777777" w:rsidR="008F4E2E" w:rsidRPr="009B0A91" w:rsidRDefault="008F4E2E" w:rsidP="00D27855">
            <w:pPr>
              <w:rPr>
                <w:lang w:val="en-US"/>
              </w:rPr>
            </w:pPr>
          </w:p>
        </w:tc>
        <w:tc>
          <w:tcPr>
            <w:tcW w:w="579" w:type="pct"/>
          </w:tcPr>
          <w:p w14:paraId="6DC2C75B" w14:textId="77777777" w:rsidR="008F4E2E" w:rsidRPr="009B0A91" w:rsidRDefault="008F4E2E" w:rsidP="00D27855">
            <w:pPr>
              <w:rPr>
                <w:lang w:val="en-US"/>
              </w:rPr>
            </w:pPr>
          </w:p>
        </w:tc>
      </w:tr>
    </w:tbl>
    <w:p w14:paraId="22B5AF8D" w14:textId="653406C7" w:rsidR="00483A61" w:rsidRPr="00654699" w:rsidRDefault="00483A61" w:rsidP="000A730B">
      <w:pPr>
        <w:spacing w:after="0"/>
        <w:rPr>
          <w:color w:val="000000" w:themeColor="text1"/>
          <w:lang w:val="en-US"/>
        </w:rPr>
      </w:pPr>
    </w:p>
    <w:sectPr w:rsidR="00483A61" w:rsidRPr="00654699" w:rsidSect="009A7FF9">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5C"/>
    <w:multiLevelType w:val="hybridMultilevel"/>
    <w:tmpl w:val="D908AB9E"/>
    <w:lvl w:ilvl="0" w:tplc="8F588A02">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DC44EE"/>
    <w:multiLevelType w:val="hybridMultilevel"/>
    <w:tmpl w:val="C25843E6"/>
    <w:lvl w:ilvl="0" w:tplc="8A2E7CF8">
      <w:numFmt w:val="bullet"/>
      <w:lvlText w:val="-"/>
      <w:lvlJc w:val="left"/>
      <w:pPr>
        <w:ind w:left="700" w:hanging="360"/>
      </w:pPr>
      <w:rPr>
        <w:rFonts w:ascii="Calibri" w:eastAsiaTheme="minorHAnsi" w:hAnsi="Calibri" w:cs="Calibr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 w15:restartNumberingAfterBreak="0">
    <w:nsid w:val="3EE87DFD"/>
    <w:multiLevelType w:val="hybridMultilevel"/>
    <w:tmpl w:val="4E347A8E"/>
    <w:lvl w:ilvl="0" w:tplc="5B227D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D30393"/>
    <w:multiLevelType w:val="hybridMultilevel"/>
    <w:tmpl w:val="7862B512"/>
    <w:lvl w:ilvl="0" w:tplc="9BEE959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9E"/>
    <w:rsid w:val="00014652"/>
    <w:rsid w:val="000179F3"/>
    <w:rsid w:val="00075CB9"/>
    <w:rsid w:val="00080EA7"/>
    <w:rsid w:val="000A730B"/>
    <w:rsid w:val="000B4C84"/>
    <w:rsid w:val="000C3517"/>
    <w:rsid w:val="000D5116"/>
    <w:rsid w:val="000E7F7D"/>
    <w:rsid w:val="00132A81"/>
    <w:rsid w:val="00177AA0"/>
    <w:rsid w:val="001B2291"/>
    <w:rsid w:val="001D0461"/>
    <w:rsid w:val="001D0475"/>
    <w:rsid w:val="001E728F"/>
    <w:rsid w:val="00226F26"/>
    <w:rsid w:val="00234B2C"/>
    <w:rsid w:val="00236E3B"/>
    <w:rsid w:val="00236F84"/>
    <w:rsid w:val="002751B2"/>
    <w:rsid w:val="0029066F"/>
    <w:rsid w:val="002959C7"/>
    <w:rsid w:val="002C7F08"/>
    <w:rsid w:val="00324C67"/>
    <w:rsid w:val="003502D8"/>
    <w:rsid w:val="003656B2"/>
    <w:rsid w:val="00365F22"/>
    <w:rsid w:val="003729C1"/>
    <w:rsid w:val="003C49D3"/>
    <w:rsid w:val="00405E24"/>
    <w:rsid w:val="0044352A"/>
    <w:rsid w:val="00483A61"/>
    <w:rsid w:val="004A3697"/>
    <w:rsid w:val="004B102F"/>
    <w:rsid w:val="004B3E10"/>
    <w:rsid w:val="004E6AA7"/>
    <w:rsid w:val="005172B8"/>
    <w:rsid w:val="00542469"/>
    <w:rsid w:val="005B59AC"/>
    <w:rsid w:val="005D53B5"/>
    <w:rsid w:val="00604970"/>
    <w:rsid w:val="00612855"/>
    <w:rsid w:val="00624ADA"/>
    <w:rsid w:val="00646177"/>
    <w:rsid w:val="00651BA8"/>
    <w:rsid w:val="00654699"/>
    <w:rsid w:val="00666D1C"/>
    <w:rsid w:val="006729E1"/>
    <w:rsid w:val="00674E52"/>
    <w:rsid w:val="00675F4A"/>
    <w:rsid w:val="006C3648"/>
    <w:rsid w:val="006D0C26"/>
    <w:rsid w:val="006D3DA6"/>
    <w:rsid w:val="006D4179"/>
    <w:rsid w:val="006E405E"/>
    <w:rsid w:val="00720AE1"/>
    <w:rsid w:val="00753DBB"/>
    <w:rsid w:val="007633B0"/>
    <w:rsid w:val="00767E05"/>
    <w:rsid w:val="007764CF"/>
    <w:rsid w:val="007913F7"/>
    <w:rsid w:val="007B5A6A"/>
    <w:rsid w:val="007F09C5"/>
    <w:rsid w:val="00825FC5"/>
    <w:rsid w:val="00837AE1"/>
    <w:rsid w:val="008A7FB8"/>
    <w:rsid w:val="008B2C09"/>
    <w:rsid w:val="008F4E2E"/>
    <w:rsid w:val="008F7DE5"/>
    <w:rsid w:val="00902F62"/>
    <w:rsid w:val="009605D9"/>
    <w:rsid w:val="009A7FF9"/>
    <w:rsid w:val="009B0A91"/>
    <w:rsid w:val="009B70F5"/>
    <w:rsid w:val="009D1573"/>
    <w:rsid w:val="009E18CB"/>
    <w:rsid w:val="00A074D2"/>
    <w:rsid w:val="00A20E18"/>
    <w:rsid w:val="00A2739C"/>
    <w:rsid w:val="00A36276"/>
    <w:rsid w:val="00A46B95"/>
    <w:rsid w:val="00A66361"/>
    <w:rsid w:val="00AB452B"/>
    <w:rsid w:val="00AF7333"/>
    <w:rsid w:val="00AF7EAA"/>
    <w:rsid w:val="00B21C40"/>
    <w:rsid w:val="00B2601E"/>
    <w:rsid w:val="00B357A6"/>
    <w:rsid w:val="00B70DC0"/>
    <w:rsid w:val="00B808F2"/>
    <w:rsid w:val="00B94934"/>
    <w:rsid w:val="00C36B4A"/>
    <w:rsid w:val="00C430E7"/>
    <w:rsid w:val="00CE3EBE"/>
    <w:rsid w:val="00CF3FAC"/>
    <w:rsid w:val="00D10505"/>
    <w:rsid w:val="00D21546"/>
    <w:rsid w:val="00D23DB0"/>
    <w:rsid w:val="00D27855"/>
    <w:rsid w:val="00D56662"/>
    <w:rsid w:val="00D9080A"/>
    <w:rsid w:val="00D93DB4"/>
    <w:rsid w:val="00DB45AC"/>
    <w:rsid w:val="00DE5288"/>
    <w:rsid w:val="00DF4F0B"/>
    <w:rsid w:val="00E22B55"/>
    <w:rsid w:val="00E64D8C"/>
    <w:rsid w:val="00E654E8"/>
    <w:rsid w:val="00EA0273"/>
    <w:rsid w:val="00EB02A2"/>
    <w:rsid w:val="00EC19BA"/>
    <w:rsid w:val="00EE32A0"/>
    <w:rsid w:val="00EE6E9A"/>
    <w:rsid w:val="00EF491D"/>
    <w:rsid w:val="00EF6EBE"/>
    <w:rsid w:val="00F04FED"/>
    <w:rsid w:val="00F13D70"/>
    <w:rsid w:val="00F162EC"/>
    <w:rsid w:val="00F26388"/>
    <w:rsid w:val="00F31ED7"/>
    <w:rsid w:val="00F372C8"/>
    <w:rsid w:val="00F45727"/>
    <w:rsid w:val="00F51499"/>
    <w:rsid w:val="00F6179E"/>
    <w:rsid w:val="00F667BD"/>
    <w:rsid w:val="00F72873"/>
    <w:rsid w:val="00F8018C"/>
    <w:rsid w:val="00F86F01"/>
    <w:rsid w:val="00F948B4"/>
    <w:rsid w:val="00F96738"/>
    <w:rsid w:val="00FB5534"/>
    <w:rsid w:val="00FF1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7D5B"/>
  <w15:chartTrackingRefBased/>
  <w15:docId w15:val="{B57F5DAE-D79D-407D-A4CD-3FB4DBC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179E"/>
    <w:pPr>
      <w:ind w:left="720"/>
      <w:contextualSpacing/>
    </w:pPr>
  </w:style>
  <w:style w:type="table" w:styleId="Tabellrutnt">
    <w:name w:val="Table Grid"/>
    <w:basedOn w:val="Normaltabell"/>
    <w:uiPriority w:val="39"/>
    <w:rsid w:val="006D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9066F"/>
    <w:rPr>
      <w:color w:val="0563C1" w:themeColor="hyperlink"/>
      <w:u w:val="single"/>
    </w:rPr>
  </w:style>
  <w:style w:type="character" w:styleId="Kommentarsreferens">
    <w:name w:val="annotation reference"/>
    <w:basedOn w:val="Standardstycketeckensnitt"/>
    <w:uiPriority w:val="99"/>
    <w:semiHidden/>
    <w:unhideWhenUsed/>
    <w:rsid w:val="00D10505"/>
    <w:rPr>
      <w:sz w:val="16"/>
      <w:szCs w:val="16"/>
    </w:rPr>
  </w:style>
  <w:style w:type="paragraph" w:styleId="Kommentarer">
    <w:name w:val="annotation text"/>
    <w:basedOn w:val="Normal"/>
    <w:link w:val="KommentarerChar"/>
    <w:uiPriority w:val="99"/>
    <w:semiHidden/>
    <w:unhideWhenUsed/>
    <w:rsid w:val="00D10505"/>
    <w:pPr>
      <w:spacing w:line="240" w:lineRule="auto"/>
    </w:pPr>
    <w:rPr>
      <w:sz w:val="20"/>
      <w:szCs w:val="20"/>
    </w:rPr>
  </w:style>
  <w:style w:type="character" w:customStyle="1" w:styleId="KommentarerChar">
    <w:name w:val="Kommentarer Char"/>
    <w:basedOn w:val="Standardstycketeckensnitt"/>
    <w:link w:val="Kommentarer"/>
    <w:uiPriority w:val="99"/>
    <w:semiHidden/>
    <w:rsid w:val="00D10505"/>
    <w:rPr>
      <w:sz w:val="20"/>
      <w:szCs w:val="20"/>
    </w:rPr>
  </w:style>
  <w:style w:type="paragraph" w:styleId="Kommentarsmne">
    <w:name w:val="annotation subject"/>
    <w:basedOn w:val="Kommentarer"/>
    <w:next w:val="Kommentarer"/>
    <w:link w:val="KommentarsmneChar"/>
    <w:uiPriority w:val="99"/>
    <w:semiHidden/>
    <w:unhideWhenUsed/>
    <w:rsid w:val="00D10505"/>
    <w:rPr>
      <w:b/>
      <w:bCs/>
    </w:rPr>
  </w:style>
  <w:style w:type="character" w:customStyle="1" w:styleId="KommentarsmneChar">
    <w:name w:val="Kommentarsämne Char"/>
    <w:basedOn w:val="KommentarerChar"/>
    <w:link w:val="Kommentarsmne"/>
    <w:uiPriority w:val="99"/>
    <w:semiHidden/>
    <w:rsid w:val="00D10505"/>
    <w:rPr>
      <w:b/>
      <w:bCs/>
      <w:sz w:val="20"/>
      <w:szCs w:val="20"/>
    </w:rPr>
  </w:style>
  <w:style w:type="paragraph" w:styleId="Ballongtext">
    <w:name w:val="Balloon Text"/>
    <w:basedOn w:val="Normal"/>
    <w:link w:val="BallongtextChar"/>
    <w:uiPriority w:val="99"/>
    <w:semiHidden/>
    <w:unhideWhenUsed/>
    <w:rsid w:val="00D105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0505"/>
    <w:rPr>
      <w:rFonts w:ascii="Segoe UI" w:hAnsi="Segoe UI" w:cs="Segoe UI"/>
      <w:sz w:val="18"/>
      <w:szCs w:val="18"/>
    </w:rPr>
  </w:style>
  <w:style w:type="character" w:styleId="Olstomnmnande">
    <w:name w:val="Unresolved Mention"/>
    <w:basedOn w:val="Standardstycketeckensnitt"/>
    <w:uiPriority w:val="99"/>
    <w:semiHidden/>
    <w:unhideWhenUsed/>
    <w:rsid w:val="001D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4164">
      <w:bodyDiv w:val="1"/>
      <w:marLeft w:val="0"/>
      <w:marRight w:val="0"/>
      <w:marTop w:val="0"/>
      <w:marBottom w:val="0"/>
      <w:divBdr>
        <w:top w:val="none" w:sz="0" w:space="0" w:color="auto"/>
        <w:left w:val="none" w:sz="0" w:space="0" w:color="auto"/>
        <w:bottom w:val="none" w:sz="0" w:space="0" w:color="auto"/>
        <w:right w:val="none" w:sz="0" w:space="0" w:color="auto"/>
      </w:divBdr>
    </w:div>
    <w:div w:id="4167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se/en/department/medical-biochemistry-and-microbiology/research/lundkvist-ake/bsl3-lab" TargetMode="External"/><Relationship Id="rId3" Type="http://schemas.openxmlformats.org/officeDocument/2006/relationships/settings" Target="settings.xml"/><Relationship Id="rId7" Type="http://schemas.openxmlformats.org/officeDocument/2006/relationships/hyperlink" Target="mailto:henrik.gradstedt@u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gradstedt@uu.se" TargetMode="External"/><Relationship Id="rId5" Type="http://schemas.openxmlformats.org/officeDocument/2006/relationships/hyperlink" Target="mailto:henrik.gradstedt@u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1113</Words>
  <Characters>5904</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Gradstedt</dc:creator>
  <cp:keywords/>
  <dc:description/>
  <cp:lastModifiedBy>Henrik Gradstedt</cp:lastModifiedBy>
  <cp:revision>20</cp:revision>
  <dcterms:created xsi:type="dcterms:W3CDTF">2024-07-04T08:31:00Z</dcterms:created>
  <dcterms:modified xsi:type="dcterms:W3CDTF">2024-07-04T09:42:00Z</dcterms:modified>
</cp:coreProperties>
</file>