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46DC" w14:textId="2DFC1388" w:rsidR="003A45C4" w:rsidRPr="00020E0A" w:rsidRDefault="00FC15E6" w:rsidP="003A45C4">
      <w:pPr>
        <w:pStyle w:val="Dnr"/>
        <w:tabs>
          <w:tab w:val="clear" w:pos="8505"/>
          <w:tab w:val="right" w:pos="6804"/>
          <w:tab w:val="left" w:pos="7371"/>
        </w:tabs>
        <w:rPr>
          <w:lang w:val="en-GB"/>
        </w:rPr>
      </w:pPr>
      <w:bookmarkStart w:id="0" w:name="_GoBack"/>
      <w:bookmarkEnd w:id="0"/>
      <w:r w:rsidRPr="00020E0A">
        <w:rPr>
          <w:vanish/>
          <w:color w:val="0000FF"/>
          <w:lang w:val="en-GB"/>
        </w:rPr>
        <w:t>Glöm inte att skriv in dnr</w:t>
      </w:r>
      <w:r w:rsidRPr="00020E0A">
        <w:rPr>
          <w:lang w:val="en-GB"/>
        </w:rPr>
        <w:tab/>
      </w:r>
      <w:r w:rsidR="00B41D57" w:rsidRPr="00020E0A">
        <w:rPr>
          <w:lang w:val="en-GB"/>
        </w:rPr>
        <w:t>THE BOARD OF THE FACULTY OF ARTS</w:t>
      </w:r>
    </w:p>
    <w:p w14:paraId="5C3157D0" w14:textId="6639B36C" w:rsidR="003A45C4" w:rsidRPr="00C54BE0" w:rsidRDefault="00B41D57">
      <w:pPr>
        <w:pStyle w:val="Titel"/>
        <w:rPr>
          <w:lang w:val="en-GB"/>
        </w:rPr>
      </w:pPr>
      <w:r w:rsidRPr="00020E0A">
        <w:rPr>
          <w:lang w:val="en-GB"/>
        </w:rPr>
        <w:t>General Study Syllabus</w:t>
      </w:r>
      <w:r w:rsidR="003444E4" w:rsidRPr="00020E0A">
        <w:rPr>
          <w:lang w:val="en-GB"/>
        </w:rPr>
        <w:t xml:space="preserve"> </w:t>
      </w:r>
      <w:r w:rsidR="00C54BE0">
        <w:rPr>
          <w:lang w:val="en-GB"/>
        </w:rPr>
        <w:t>in</w:t>
      </w:r>
      <w:r w:rsidR="003444E4" w:rsidRPr="00020E0A">
        <w:rPr>
          <w:lang w:val="en-GB"/>
        </w:rPr>
        <w:t xml:space="preserve"> </w:t>
      </w:r>
      <w:r w:rsidR="00C54BE0" w:rsidRPr="00C54BE0">
        <w:rPr>
          <w:lang w:val="en-GB"/>
        </w:rPr>
        <w:t>Gender Studies</w:t>
      </w:r>
    </w:p>
    <w:p w14:paraId="6C02A3FF" w14:textId="77777777" w:rsidR="003A45C4" w:rsidRPr="00020E0A" w:rsidRDefault="00FC15E6" w:rsidP="003444E4">
      <w:pPr>
        <w:pStyle w:val="Titelunderrubrik"/>
        <w:ind w:left="0"/>
        <w:rPr>
          <w:lang w:val="en-GB"/>
        </w:rPr>
      </w:pPr>
      <w:r w:rsidRPr="00020E0A">
        <w:rPr>
          <w:lang w:val="en-GB"/>
        </w:rPr>
        <w:t xml:space="preserve"> </w:t>
      </w:r>
    </w:p>
    <w:p w14:paraId="715D63A5" w14:textId="1E384EA8" w:rsidR="003A45C4" w:rsidRPr="00020E0A" w:rsidRDefault="00B41D57">
      <w:pPr>
        <w:pStyle w:val="Avsndare"/>
        <w:rPr>
          <w:lang w:val="en-GB"/>
        </w:rPr>
      </w:pPr>
      <w:r w:rsidRPr="00020E0A">
        <w:rPr>
          <w:lang w:val="en-GB"/>
        </w:rPr>
        <w:t>Established by the Board of the Faculty of Arts</w:t>
      </w:r>
      <w:r w:rsidR="00FC15E6" w:rsidRPr="00020E0A">
        <w:rPr>
          <w:lang w:val="en-GB"/>
        </w:rPr>
        <w:t xml:space="preserve"> </w:t>
      </w:r>
      <w:r w:rsidR="00C95B90" w:rsidRPr="00C54BE0">
        <w:rPr>
          <w:lang w:val="en-GB"/>
        </w:rPr>
        <w:t xml:space="preserve">on </w:t>
      </w:r>
      <w:r w:rsidR="00C54BE0" w:rsidRPr="00C54BE0">
        <w:rPr>
          <w:lang w:val="en-GB"/>
        </w:rPr>
        <w:t>25</w:t>
      </w:r>
      <w:r w:rsidR="00C95B90" w:rsidRPr="00C54BE0">
        <w:rPr>
          <w:lang w:val="en-GB"/>
        </w:rPr>
        <w:t xml:space="preserve"> </w:t>
      </w:r>
      <w:r w:rsidR="00C54BE0" w:rsidRPr="00C54BE0">
        <w:rPr>
          <w:lang w:val="en-GB"/>
        </w:rPr>
        <w:t>May 2021</w:t>
      </w:r>
      <w:r w:rsidR="00FC15E6" w:rsidRPr="00C54BE0">
        <w:rPr>
          <w:vanish/>
          <w:color w:val="0000FF"/>
          <w:lang w:val="en-GB"/>
        </w:rPr>
        <w:t>OBS! Avsnittsbrytningen får ej skjutas över på nästa sida</w:t>
      </w:r>
      <w:r w:rsidR="00FC15E6" w:rsidRPr="00020E0A">
        <w:rPr>
          <w:lang w:val="en-GB"/>
        </w:rPr>
        <w:t xml:space="preserve"> </w:t>
      </w:r>
    </w:p>
    <w:p w14:paraId="26C49F16" w14:textId="77777777" w:rsidR="003A45C4" w:rsidRPr="00020E0A" w:rsidRDefault="003A45C4">
      <w:pPr>
        <w:rPr>
          <w:lang w:val="en-GB"/>
        </w:rPr>
      </w:pPr>
    </w:p>
    <w:p w14:paraId="6017E96E" w14:textId="77777777" w:rsidR="003A45C4" w:rsidRPr="00020E0A" w:rsidRDefault="003A45C4">
      <w:pPr>
        <w:pStyle w:val="Dnr"/>
        <w:tabs>
          <w:tab w:val="clear" w:pos="8505"/>
          <w:tab w:val="right" w:pos="6804"/>
        </w:tabs>
        <w:rPr>
          <w:lang w:val="en-GB"/>
        </w:rPr>
        <w:sectPr w:rsidR="003A45C4" w:rsidRPr="00020E0A" w:rsidSect="003A45C4">
          <w:headerReference w:type="default" r:id="rId8"/>
          <w:pgSz w:w="11906" w:h="16838"/>
          <w:pgMar w:top="1418" w:right="991" w:bottom="1418" w:left="1701" w:header="697" w:footer="851" w:gutter="0"/>
          <w:cols w:space="708"/>
        </w:sectPr>
      </w:pPr>
    </w:p>
    <w:p w14:paraId="10630405" w14:textId="349AA1A2" w:rsidR="003A45C4" w:rsidRPr="00020E0A" w:rsidRDefault="005252E3" w:rsidP="003A45C4">
      <w:pPr>
        <w:pStyle w:val="Rubrik7"/>
        <w:rPr>
          <w:lang w:val="en-GB"/>
        </w:rPr>
      </w:pPr>
      <w:r w:rsidRPr="00020E0A">
        <w:rPr>
          <w:lang w:val="en-GB"/>
        </w:rPr>
        <w:lastRenderedPageBreak/>
        <w:t>Table of Contents</w:t>
      </w:r>
    </w:p>
    <w:p w14:paraId="17CA91AE" w14:textId="5D7518C3" w:rsidR="003A2FC9" w:rsidRDefault="00FC15E6">
      <w:pPr>
        <w:pStyle w:val="Innehll2"/>
        <w:rPr>
          <w:rFonts w:asciiTheme="minorHAnsi" w:eastAsiaTheme="minorEastAsia" w:hAnsiTheme="minorHAnsi" w:cstheme="minorBidi"/>
          <w:sz w:val="22"/>
          <w:szCs w:val="22"/>
        </w:rPr>
      </w:pPr>
      <w:r w:rsidRPr="00020E0A">
        <w:rPr>
          <w:b/>
          <w:lang w:val="en-GB"/>
        </w:rPr>
        <w:fldChar w:fldCharType="begin"/>
      </w:r>
      <w:r w:rsidRPr="00020E0A">
        <w:rPr>
          <w:lang w:val="en-GB"/>
        </w:rPr>
        <w:instrText xml:space="preserve"> TOC \o "1-4" </w:instrText>
      </w:r>
      <w:r w:rsidRPr="00020E0A">
        <w:rPr>
          <w:b/>
          <w:lang w:val="en-GB"/>
        </w:rPr>
        <w:fldChar w:fldCharType="separate"/>
      </w:r>
      <w:r w:rsidR="003A2FC9" w:rsidRPr="001407BA">
        <w:rPr>
          <w:lang w:val="en-GB"/>
        </w:rPr>
        <w:t>1. Intended learning outcomes and frame of reference for third-cycle (doctoral) education</w:t>
      </w:r>
      <w:r w:rsidR="003A2FC9">
        <w:tab/>
      </w:r>
      <w:r w:rsidR="003A2FC9">
        <w:fldChar w:fldCharType="begin"/>
      </w:r>
      <w:r w:rsidR="003A2FC9">
        <w:instrText xml:space="preserve"> PAGEREF _Toc81558106 \h </w:instrText>
      </w:r>
      <w:r w:rsidR="003A2FC9">
        <w:fldChar w:fldCharType="separate"/>
      </w:r>
      <w:r w:rsidR="003A2FC9">
        <w:t>3</w:t>
      </w:r>
      <w:r w:rsidR="003A2FC9">
        <w:fldChar w:fldCharType="end"/>
      </w:r>
    </w:p>
    <w:p w14:paraId="51437483" w14:textId="60649415" w:rsidR="003A2FC9" w:rsidRDefault="003A2FC9">
      <w:pPr>
        <w:pStyle w:val="Innehll2"/>
        <w:rPr>
          <w:rFonts w:asciiTheme="minorHAnsi" w:eastAsiaTheme="minorEastAsia" w:hAnsiTheme="minorHAnsi" w:cstheme="minorBidi"/>
          <w:sz w:val="22"/>
          <w:szCs w:val="22"/>
        </w:rPr>
      </w:pPr>
      <w:r w:rsidRPr="001407BA">
        <w:rPr>
          <w:lang w:val="en-GB"/>
        </w:rPr>
        <w:t>2. Admission Requirements and Eligibility</w:t>
      </w:r>
      <w:r>
        <w:tab/>
      </w:r>
      <w:r>
        <w:fldChar w:fldCharType="begin"/>
      </w:r>
      <w:r>
        <w:instrText xml:space="preserve"> PAGEREF _Toc81558107 \h </w:instrText>
      </w:r>
      <w:r>
        <w:fldChar w:fldCharType="separate"/>
      </w:r>
      <w:r>
        <w:t>4</w:t>
      </w:r>
      <w:r>
        <w:fldChar w:fldCharType="end"/>
      </w:r>
    </w:p>
    <w:p w14:paraId="23D99730" w14:textId="28BE8B5D" w:rsidR="003A2FC9" w:rsidRDefault="003A2FC9">
      <w:pPr>
        <w:pStyle w:val="Innehll3"/>
        <w:rPr>
          <w:rFonts w:asciiTheme="minorHAnsi" w:eastAsiaTheme="minorEastAsia" w:hAnsiTheme="minorHAnsi" w:cstheme="minorBidi"/>
          <w:sz w:val="22"/>
          <w:szCs w:val="22"/>
        </w:rPr>
      </w:pPr>
      <w:r w:rsidRPr="001407BA">
        <w:rPr>
          <w:lang w:val="en-GB"/>
        </w:rPr>
        <w:t>2.1 General eligibility requirements</w:t>
      </w:r>
      <w:r>
        <w:tab/>
      </w:r>
      <w:r>
        <w:fldChar w:fldCharType="begin"/>
      </w:r>
      <w:r>
        <w:instrText xml:space="preserve"> PAGEREF _Toc81558108 \h </w:instrText>
      </w:r>
      <w:r>
        <w:fldChar w:fldCharType="separate"/>
      </w:r>
      <w:r>
        <w:t>4</w:t>
      </w:r>
      <w:r>
        <w:fldChar w:fldCharType="end"/>
      </w:r>
    </w:p>
    <w:p w14:paraId="6D89DEDB" w14:textId="05C34FB1" w:rsidR="003A2FC9" w:rsidRDefault="003A2FC9">
      <w:pPr>
        <w:pStyle w:val="Innehll3"/>
        <w:rPr>
          <w:rFonts w:asciiTheme="minorHAnsi" w:eastAsiaTheme="minorEastAsia" w:hAnsiTheme="minorHAnsi" w:cstheme="minorBidi"/>
          <w:sz w:val="22"/>
          <w:szCs w:val="22"/>
        </w:rPr>
      </w:pPr>
      <w:r w:rsidRPr="001407BA">
        <w:rPr>
          <w:lang w:val="en-GB"/>
        </w:rPr>
        <w:t>2.2 Special eligibility requirements</w:t>
      </w:r>
      <w:r>
        <w:tab/>
      </w:r>
      <w:r>
        <w:fldChar w:fldCharType="begin"/>
      </w:r>
      <w:r>
        <w:instrText xml:space="preserve"> PAGEREF _Toc81558109 \h </w:instrText>
      </w:r>
      <w:r>
        <w:fldChar w:fldCharType="separate"/>
      </w:r>
      <w:r>
        <w:t>4</w:t>
      </w:r>
      <w:r>
        <w:fldChar w:fldCharType="end"/>
      </w:r>
    </w:p>
    <w:p w14:paraId="5D377044" w14:textId="18BC7517" w:rsidR="003A2FC9" w:rsidRDefault="003A2FC9">
      <w:pPr>
        <w:pStyle w:val="Innehll2"/>
        <w:rPr>
          <w:rFonts w:asciiTheme="minorHAnsi" w:eastAsiaTheme="minorEastAsia" w:hAnsiTheme="minorHAnsi" w:cstheme="minorBidi"/>
          <w:sz w:val="22"/>
          <w:szCs w:val="22"/>
        </w:rPr>
      </w:pPr>
      <w:r w:rsidRPr="001407BA">
        <w:rPr>
          <w:lang w:val="en-GB"/>
        </w:rPr>
        <w:t>3. Admission and Selection Procedure</w:t>
      </w:r>
      <w:r>
        <w:tab/>
      </w:r>
      <w:r>
        <w:fldChar w:fldCharType="begin"/>
      </w:r>
      <w:r>
        <w:instrText xml:space="preserve"> PAGEREF _Toc81558110 \h </w:instrText>
      </w:r>
      <w:r>
        <w:fldChar w:fldCharType="separate"/>
      </w:r>
      <w:r>
        <w:t>4</w:t>
      </w:r>
      <w:r>
        <w:fldChar w:fldCharType="end"/>
      </w:r>
    </w:p>
    <w:p w14:paraId="32DAD285" w14:textId="242448CD" w:rsidR="003A2FC9" w:rsidRDefault="003A2FC9">
      <w:pPr>
        <w:pStyle w:val="Innehll3"/>
        <w:rPr>
          <w:rFonts w:asciiTheme="minorHAnsi" w:eastAsiaTheme="minorEastAsia" w:hAnsiTheme="minorHAnsi" w:cstheme="minorBidi"/>
          <w:sz w:val="22"/>
          <w:szCs w:val="22"/>
        </w:rPr>
      </w:pPr>
      <w:r w:rsidRPr="001407BA">
        <w:rPr>
          <w:lang w:val="en-GB"/>
        </w:rPr>
        <w:t>3.1 Information and advertising of posts</w:t>
      </w:r>
      <w:r>
        <w:tab/>
      </w:r>
      <w:r>
        <w:fldChar w:fldCharType="begin"/>
      </w:r>
      <w:r>
        <w:instrText xml:space="preserve"> PAGEREF _Toc81558111 \h </w:instrText>
      </w:r>
      <w:r>
        <w:fldChar w:fldCharType="separate"/>
      </w:r>
      <w:r>
        <w:t>4</w:t>
      </w:r>
      <w:r>
        <w:fldChar w:fldCharType="end"/>
      </w:r>
    </w:p>
    <w:p w14:paraId="0FCB0EC9" w14:textId="308F3D10" w:rsidR="003A2FC9" w:rsidRDefault="003A2FC9">
      <w:pPr>
        <w:pStyle w:val="Innehll3"/>
        <w:rPr>
          <w:rFonts w:asciiTheme="minorHAnsi" w:eastAsiaTheme="minorEastAsia" w:hAnsiTheme="minorHAnsi" w:cstheme="minorBidi"/>
          <w:sz w:val="22"/>
          <w:szCs w:val="22"/>
        </w:rPr>
      </w:pPr>
      <w:r w:rsidRPr="001407BA">
        <w:rPr>
          <w:lang w:val="en-GB"/>
        </w:rPr>
        <w:t>3.2 Admission</w:t>
      </w:r>
      <w:r>
        <w:tab/>
      </w:r>
      <w:r>
        <w:fldChar w:fldCharType="begin"/>
      </w:r>
      <w:r>
        <w:instrText xml:space="preserve"> PAGEREF _Toc81558112 \h </w:instrText>
      </w:r>
      <w:r>
        <w:fldChar w:fldCharType="separate"/>
      </w:r>
      <w:r>
        <w:t>4</w:t>
      </w:r>
      <w:r>
        <w:fldChar w:fldCharType="end"/>
      </w:r>
    </w:p>
    <w:p w14:paraId="7C030005" w14:textId="52C9BAE5" w:rsidR="003A2FC9" w:rsidRDefault="003A2FC9">
      <w:pPr>
        <w:pStyle w:val="Innehll3"/>
        <w:rPr>
          <w:rFonts w:asciiTheme="minorHAnsi" w:eastAsiaTheme="minorEastAsia" w:hAnsiTheme="minorHAnsi" w:cstheme="minorBidi"/>
          <w:sz w:val="22"/>
          <w:szCs w:val="22"/>
        </w:rPr>
      </w:pPr>
      <w:r w:rsidRPr="001407BA">
        <w:rPr>
          <w:lang w:val="en-GB"/>
        </w:rPr>
        <w:t>3.3 The selection procedure</w:t>
      </w:r>
      <w:r>
        <w:tab/>
      </w:r>
      <w:r>
        <w:fldChar w:fldCharType="begin"/>
      </w:r>
      <w:r>
        <w:instrText xml:space="preserve"> PAGEREF _Toc81558113 \h </w:instrText>
      </w:r>
      <w:r>
        <w:fldChar w:fldCharType="separate"/>
      </w:r>
      <w:r>
        <w:t>5</w:t>
      </w:r>
      <w:r>
        <w:fldChar w:fldCharType="end"/>
      </w:r>
    </w:p>
    <w:p w14:paraId="1A24B934" w14:textId="5E04E712" w:rsidR="003A2FC9" w:rsidRDefault="003A2FC9">
      <w:pPr>
        <w:pStyle w:val="Innehll2"/>
        <w:rPr>
          <w:rFonts w:asciiTheme="minorHAnsi" w:eastAsiaTheme="minorEastAsia" w:hAnsiTheme="minorHAnsi" w:cstheme="minorBidi"/>
          <w:sz w:val="22"/>
          <w:szCs w:val="22"/>
        </w:rPr>
      </w:pPr>
      <w:r w:rsidRPr="001407BA">
        <w:rPr>
          <w:lang w:val="en-GB"/>
        </w:rPr>
        <w:t>4. The Contents and Organisation of the Programme</w:t>
      </w:r>
      <w:r>
        <w:tab/>
      </w:r>
      <w:r>
        <w:fldChar w:fldCharType="begin"/>
      </w:r>
      <w:r>
        <w:instrText xml:space="preserve"> PAGEREF _Toc81558114 \h </w:instrText>
      </w:r>
      <w:r>
        <w:fldChar w:fldCharType="separate"/>
      </w:r>
      <w:r>
        <w:t>5</w:t>
      </w:r>
      <w:r>
        <w:fldChar w:fldCharType="end"/>
      </w:r>
    </w:p>
    <w:p w14:paraId="0DE1BD43" w14:textId="4C255A99" w:rsidR="003A2FC9" w:rsidRDefault="003A2FC9">
      <w:pPr>
        <w:pStyle w:val="Innehll3"/>
        <w:rPr>
          <w:rFonts w:asciiTheme="minorHAnsi" w:eastAsiaTheme="minorEastAsia" w:hAnsiTheme="minorHAnsi" w:cstheme="minorBidi"/>
          <w:sz w:val="22"/>
          <w:szCs w:val="22"/>
        </w:rPr>
      </w:pPr>
      <w:r w:rsidRPr="001407BA">
        <w:rPr>
          <w:lang w:val="en-GB"/>
        </w:rPr>
        <w:t>4.1 The organisation of the programme</w:t>
      </w:r>
      <w:r>
        <w:tab/>
      </w:r>
      <w:r>
        <w:fldChar w:fldCharType="begin"/>
      </w:r>
      <w:r>
        <w:instrText xml:space="preserve"> PAGEREF _Toc81558115 \h </w:instrText>
      </w:r>
      <w:r>
        <w:fldChar w:fldCharType="separate"/>
      </w:r>
      <w:r>
        <w:t>5</w:t>
      </w:r>
      <w:r>
        <w:fldChar w:fldCharType="end"/>
      </w:r>
    </w:p>
    <w:p w14:paraId="28265DC0" w14:textId="458E7CE1" w:rsidR="003A2FC9" w:rsidRDefault="003A2FC9">
      <w:pPr>
        <w:pStyle w:val="Innehll3"/>
        <w:rPr>
          <w:rFonts w:asciiTheme="minorHAnsi" w:eastAsiaTheme="minorEastAsia" w:hAnsiTheme="minorHAnsi" w:cstheme="minorBidi"/>
          <w:sz w:val="22"/>
          <w:szCs w:val="22"/>
        </w:rPr>
      </w:pPr>
      <w:r w:rsidRPr="001407BA">
        <w:rPr>
          <w:lang w:val="en-GB"/>
        </w:rPr>
        <w:t>4.2 Supervision</w:t>
      </w:r>
      <w:r>
        <w:tab/>
      </w:r>
      <w:r>
        <w:fldChar w:fldCharType="begin"/>
      </w:r>
      <w:r>
        <w:instrText xml:space="preserve"> PAGEREF _Toc81558116 \h </w:instrText>
      </w:r>
      <w:r>
        <w:fldChar w:fldCharType="separate"/>
      </w:r>
      <w:r>
        <w:t>6</w:t>
      </w:r>
      <w:r>
        <w:fldChar w:fldCharType="end"/>
      </w:r>
    </w:p>
    <w:p w14:paraId="62E7613F" w14:textId="7669FC0D" w:rsidR="003A2FC9" w:rsidRDefault="003A2FC9">
      <w:pPr>
        <w:pStyle w:val="Innehll3"/>
        <w:rPr>
          <w:rFonts w:asciiTheme="minorHAnsi" w:eastAsiaTheme="minorEastAsia" w:hAnsiTheme="minorHAnsi" w:cstheme="minorBidi"/>
          <w:sz w:val="22"/>
          <w:szCs w:val="22"/>
        </w:rPr>
      </w:pPr>
      <w:r w:rsidRPr="001407BA">
        <w:rPr>
          <w:lang w:val="en-GB"/>
        </w:rPr>
        <w:t>4.3 Individual study plan</w:t>
      </w:r>
      <w:r>
        <w:tab/>
      </w:r>
      <w:r>
        <w:fldChar w:fldCharType="begin"/>
      </w:r>
      <w:r>
        <w:instrText xml:space="preserve"> PAGEREF _Toc81558117 \h </w:instrText>
      </w:r>
      <w:r>
        <w:fldChar w:fldCharType="separate"/>
      </w:r>
      <w:r>
        <w:t>6</w:t>
      </w:r>
      <w:r>
        <w:fldChar w:fldCharType="end"/>
      </w:r>
    </w:p>
    <w:p w14:paraId="618A8733" w14:textId="0BBB7A7F" w:rsidR="003A2FC9" w:rsidRDefault="003A2FC9">
      <w:pPr>
        <w:pStyle w:val="Innehll2"/>
        <w:rPr>
          <w:rFonts w:asciiTheme="minorHAnsi" w:eastAsiaTheme="minorEastAsia" w:hAnsiTheme="minorHAnsi" w:cstheme="minorBidi"/>
          <w:sz w:val="22"/>
          <w:szCs w:val="22"/>
        </w:rPr>
      </w:pPr>
      <w:r w:rsidRPr="001407BA">
        <w:rPr>
          <w:lang w:val="en-GB"/>
        </w:rPr>
        <w:t>5. Courses</w:t>
      </w:r>
      <w:r>
        <w:tab/>
      </w:r>
      <w:r>
        <w:fldChar w:fldCharType="begin"/>
      </w:r>
      <w:r>
        <w:instrText xml:space="preserve"> PAGEREF _Toc81558118 \h </w:instrText>
      </w:r>
      <w:r>
        <w:fldChar w:fldCharType="separate"/>
      </w:r>
      <w:r>
        <w:t>7</w:t>
      </w:r>
      <w:r>
        <w:fldChar w:fldCharType="end"/>
      </w:r>
    </w:p>
    <w:p w14:paraId="1A719D26" w14:textId="716F111F" w:rsidR="003A2FC9" w:rsidRDefault="003A2FC9">
      <w:pPr>
        <w:pStyle w:val="Innehll3"/>
        <w:rPr>
          <w:rFonts w:asciiTheme="minorHAnsi" w:eastAsiaTheme="minorEastAsia" w:hAnsiTheme="minorHAnsi" w:cstheme="minorBidi"/>
          <w:sz w:val="22"/>
          <w:szCs w:val="22"/>
        </w:rPr>
      </w:pPr>
      <w:r w:rsidRPr="001407BA">
        <w:rPr>
          <w:lang w:val="en-GB"/>
        </w:rPr>
        <w:t>5.1 Examination</w:t>
      </w:r>
      <w:r>
        <w:tab/>
      </w:r>
      <w:r>
        <w:fldChar w:fldCharType="begin"/>
      </w:r>
      <w:r>
        <w:instrText xml:space="preserve"> PAGEREF _Toc81558119 \h </w:instrText>
      </w:r>
      <w:r>
        <w:fldChar w:fldCharType="separate"/>
      </w:r>
      <w:r>
        <w:t>7</w:t>
      </w:r>
      <w:r>
        <w:fldChar w:fldCharType="end"/>
      </w:r>
    </w:p>
    <w:p w14:paraId="13A68AAE" w14:textId="6C5188D6" w:rsidR="003A2FC9" w:rsidRDefault="003A2FC9">
      <w:pPr>
        <w:pStyle w:val="Innehll3"/>
        <w:rPr>
          <w:rFonts w:asciiTheme="minorHAnsi" w:eastAsiaTheme="minorEastAsia" w:hAnsiTheme="minorHAnsi" w:cstheme="minorBidi"/>
          <w:sz w:val="22"/>
          <w:szCs w:val="22"/>
        </w:rPr>
      </w:pPr>
      <w:r w:rsidRPr="001407BA">
        <w:rPr>
          <w:lang w:val="en-GB"/>
        </w:rPr>
        <w:t>5.2 Credit transfer</w:t>
      </w:r>
      <w:r>
        <w:tab/>
      </w:r>
      <w:r>
        <w:fldChar w:fldCharType="begin"/>
      </w:r>
      <w:r>
        <w:instrText xml:space="preserve"> PAGEREF _Toc81558120 \h </w:instrText>
      </w:r>
      <w:r>
        <w:fldChar w:fldCharType="separate"/>
      </w:r>
      <w:r>
        <w:t>7</w:t>
      </w:r>
      <w:r>
        <w:fldChar w:fldCharType="end"/>
      </w:r>
    </w:p>
    <w:p w14:paraId="772300CF" w14:textId="13B771B8" w:rsidR="003A2FC9" w:rsidRDefault="003A2FC9">
      <w:pPr>
        <w:pStyle w:val="Innehll2"/>
        <w:rPr>
          <w:rFonts w:asciiTheme="minorHAnsi" w:eastAsiaTheme="minorEastAsia" w:hAnsiTheme="minorHAnsi" w:cstheme="minorBidi"/>
          <w:sz w:val="22"/>
          <w:szCs w:val="22"/>
        </w:rPr>
      </w:pPr>
      <w:r w:rsidRPr="001407BA">
        <w:rPr>
          <w:lang w:val="en-GB"/>
        </w:rPr>
        <w:t>6. Dissertation and Defence</w:t>
      </w:r>
      <w:r>
        <w:tab/>
      </w:r>
      <w:r>
        <w:fldChar w:fldCharType="begin"/>
      </w:r>
      <w:r>
        <w:instrText xml:space="preserve"> PAGEREF _Toc81558121 \h </w:instrText>
      </w:r>
      <w:r>
        <w:fldChar w:fldCharType="separate"/>
      </w:r>
      <w:r>
        <w:t>8</w:t>
      </w:r>
      <w:r>
        <w:fldChar w:fldCharType="end"/>
      </w:r>
    </w:p>
    <w:p w14:paraId="14E30FF8" w14:textId="7A844138" w:rsidR="003A2FC9" w:rsidRDefault="003A2FC9">
      <w:pPr>
        <w:pStyle w:val="Innehll3"/>
        <w:rPr>
          <w:rFonts w:asciiTheme="minorHAnsi" w:eastAsiaTheme="minorEastAsia" w:hAnsiTheme="minorHAnsi" w:cstheme="minorBidi"/>
          <w:sz w:val="22"/>
          <w:szCs w:val="22"/>
        </w:rPr>
      </w:pPr>
      <w:r w:rsidRPr="001407BA">
        <w:rPr>
          <w:lang w:val="en-GB"/>
        </w:rPr>
        <w:t>6.1 Dissertation</w:t>
      </w:r>
      <w:r>
        <w:tab/>
      </w:r>
      <w:r>
        <w:fldChar w:fldCharType="begin"/>
      </w:r>
      <w:r>
        <w:instrText xml:space="preserve"> PAGEREF _Toc81558122 \h </w:instrText>
      </w:r>
      <w:r>
        <w:fldChar w:fldCharType="separate"/>
      </w:r>
      <w:r>
        <w:t>8</w:t>
      </w:r>
      <w:r>
        <w:fldChar w:fldCharType="end"/>
      </w:r>
    </w:p>
    <w:p w14:paraId="65E85FDA" w14:textId="28EBA435" w:rsidR="003A2FC9" w:rsidRDefault="003A2FC9">
      <w:pPr>
        <w:pStyle w:val="Innehll3"/>
        <w:rPr>
          <w:rFonts w:asciiTheme="minorHAnsi" w:eastAsiaTheme="minorEastAsia" w:hAnsiTheme="minorHAnsi" w:cstheme="minorBidi"/>
          <w:sz w:val="22"/>
          <w:szCs w:val="22"/>
        </w:rPr>
      </w:pPr>
      <w:r w:rsidRPr="001407BA">
        <w:rPr>
          <w:lang w:val="en-GB"/>
        </w:rPr>
        <w:t>6.2 Public defence</w:t>
      </w:r>
      <w:r>
        <w:tab/>
      </w:r>
      <w:r>
        <w:fldChar w:fldCharType="begin"/>
      </w:r>
      <w:r>
        <w:instrText xml:space="preserve"> PAGEREF _Toc81558123 \h </w:instrText>
      </w:r>
      <w:r>
        <w:fldChar w:fldCharType="separate"/>
      </w:r>
      <w:r>
        <w:t>8</w:t>
      </w:r>
      <w:r>
        <w:fldChar w:fldCharType="end"/>
      </w:r>
    </w:p>
    <w:p w14:paraId="1EB22855" w14:textId="6353C4FD" w:rsidR="003A2FC9" w:rsidRDefault="003A2FC9">
      <w:pPr>
        <w:pStyle w:val="Innehll3"/>
        <w:rPr>
          <w:rFonts w:asciiTheme="minorHAnsi" w:eastAsiaTheme="minorEastAsia" w:hAnsiTheme="minorHAnsi" w:cstheme="minorBidi"/>
          <w:sz w:val="22"/>
          <w:szCs w:val="22"/>
        </w:rPr>
      </w:pPr>
      <w:r w:rsidRPr="001407BA">
        <w:rPr>
          <w:lang w:val="en-GB"/>
        </w:rPr>
        <w:t>6.3. Licentiate seminar</w:t>
      </w:r>
      <w:r>
        <w:tab/>
      </w:r>
      <w:r>
        <w:fldChar w:fldCharType="begin"/>
      </w:r>
      <w:r>
        <w:instrText xml:space="preserve"> PAGEREF _Toc81558124 \h </w:instrText>
      </w:r>
      <w:r>
        <w:fldChar w:fldCharType="separate"/>
      </w:r>
      <w:r>
        <w:t>9</w:t>
      </w:r>
      <w:r>
        <w:fldChar w:fldCharType="end"/>
      </w:r>
    </w:p>
    <w:p w14:paraId="33C1FB34" w14:textId="1DD505C3" w:rsidR="003A2FC9" w:rsidRDefault="003A2FC9">
      <w:pPr>
        <w:pStyle w:val="Innehll2"/>
        <w:rPr>
          <w:rFonts w:asciiTheme="minorHAnsi" w:eastAsiaTheme="minorEastAsia" w:hAnsiTheme="minorHAnsi" w:cstheme="minorBidi"/>
          <w:sz w:val="22"/>
          <w:szCs w:val="22"/>
        </w:rPr>
      </w:pPr>
      <w:r w:rsidRPr="001407BA">
        <w:rPr>
          <w:lang w:val="en-GB"/>
        </w:rPr>
        <w:t>7. Degree</w:t>
      </w:r>
      <w:r>
        <w:tab/>
      </w:r>
      <w:r>
        <w:fldChar w:fldCharType="begin"/>
      </w:r>
      <w:r>
        <w:instrText xml:space="preserve"> PAGEREF _Toc81558125 \h </w:instrText>
      </w:r>
      <w:r>
        <w:fldChar w:fldCharType="separate"/>
      </w:r>
      <w:r>
        <w:t>9</w:t>
      </w:r>
      <w:r>
        <w:fldChar w:fldCharType="end"/>
      </w:r>
    </w:p>
    <w:p w14:paraId="33CEC7D1" w14:textId="5F7F510E" w:rsidR="003A2FC9" w:rsidRDefault="003A2FC9">
      <w:pPr>
        <w:pStyle w:val="Innehll2"/>
        <w:rPr>
          <w:rFonts w:asciiTheme="minorHAnsi" w:eastAsiaTheme="minorEastAsia" w:hAnsiTheme="minorHAnsi" w:cstheme="minorBidi"/>
          <w:sz w:val="22"/>
          <w:szCs w:val="22"/>
        </w:rPr>
      </w:pPr>
      <w:r w:rsidRPr="001407BA">
        <w:rPr>
          <w:lang w:val="en-GB"/>
        </w:rPr>
        <w:t>8. Adoption and Transitional Regulations</w:t>
      </w:r>
      <w:r>
        <w:tab/>
      </w:r>
      <w:r>
        <w:fldChar w:fldCharType="begin"/>
      </w:r>
      <w:r>
        <w:instrText xml:space="preserve"> PAGEREF _Toc81558126 \h </w:instrText>
      </w:r>
      <w:r>
        <w:fldChar w:fldCharType="separate"/>
      </w:r>
      <w:r>
        <w:t>10</w:t>
      </w:r>
      <w:r>
        <w:fldChar w:fldCharType="end"/>
      </w:r>
    </w:p>
    <w:p w14:paraId="1ED4732C" w14:textId="73F58ECC" w:rsidR="003A2FC9" w:rsidRDefault="003A2FC9">
      <w:pPr>
        <w:pStyle w:val="Innehll2"/>
        <w:rPr>
          <w:rFonts w:asciiTheme="minorHAnsi" w:eastAsiaTheme="minorEastAsia" w:hAnsiTheme="minorHAnsi" w:cstheme="minorBidi"/>
          <w:sz w:val="22"/>
          <w:szCs w:val="22"/>
        </w:rPr>
      </w:pPr>
      <w:r w:rsidRPr="001407BA">
        <w:rPr>
          <w:lang w:val="en-GB"/>
        </w:rPr>
        <w:t>9. Additional Regulations and Guidelines</w:t>
      </w:r>
      <w:r>
        <w:tab/>
      </w:r>
      <w:r>
        <w:fldChar w:fldCharType="begin"/>
      </w:r>
      <w:r>
        <w:instrText xml:space="preserve"> PAGEREF _Toc81558127 \h </w:instrText>
      </w:r>
      <w:r>
        <w:fldChar w:fldCharType="separate"/>
      </w:r>
      <w:r>
        <w:t>10</w:t>
      </w:r>
      <w:r>
        <w:fldChar w:fldCharType="end"/>
      </w:r>
    </w:p>
    <w:p w14:paraId="57199528" w14:textId="1A039DD4" w:rsidR="003A45C4" w:rsidRPr="00020E0A" w:rsidRDefault="00FC15E6" w:rsidP="003A45C4">
      <w:pPr>
        <w:pStyle w:val="Innehll1"/>
        <w:rPr>
          <w:b w:val="0"/>
          <w:lang w:val="en-GB"/>
        </w:rPr>
      </w:pPr>
      <w:r w:rsidRPr="00020E0A">
        <w:rPr>
          <w:b w:val="0"/>
          <w:lang w:val="en-GB"/>
        </w:rPr>
        <w:fldChar w:fldCharType="end"/>
      </w:r>
    </w:p>
    <w:p w14:paraId="0B7C0450" w14:textId="77777777" w:rsidR="00AD3E04" w:rsidRPr="00020E0A" w:rsidRDefault="00AD3E04" w:rsidP="00AD3E04">
      <w:pPr>
        <w:rPr>
          <w:lang w:val="en-GB"/>
        </w:rPr>
      </w:pPr>
    </w:p>
    <w:p w14:paraId="2FBE304E" w14:textId="6CCC19BF" w:rsidR="00EB2F53" w:rsidRPr="00020E0A" w:rsidRDefault="00AD3E04" w:rsidP="00EB2F53">
      <w:pPr>
        <w:rPr>
          <w:rFonts w:ascii="Arial" w:hAnsi="Arial" w:cs="Arial"/>
          <w:lang w:val="en-GB"/>
        </w:rPr>
      </w:pPr>
      <w:r w:rsidRPr="00020E0A">
        <w:rPr>
          <w:lang w:val="en-GB"/>
        </w:rPr>
        <w:br w:type="page"/>
      </w:r>
      <w:r w:rsidR="00924275" w:rsidRPr="00020E0A">
        <w:rPr>
          <w:rFonts w:ascii="Arial" w:hAnsi="Arial" w:cs="Arial"/>
          <w:sz w:val="36"/>
          <w:lang w:val="en-GB"/>
        </w:rPr>
        <w:lastRenderedPageBreak/>
        <w:t>General Study Syllabus for Third-</w:t>
      </w:r>
      <w:r w:rsidR="004115B3" w:rsidRPr="00020E0A">
        <w:rPr>
          <w:rFonts w:ascii="Arial" w:hAnsi="Arial" w:cs="Arial"/>
          <w:sz w:val="36"/>
          <w:lang w:val="en-GB"/>
        </w:rPr>
        <w:t>C</w:t>
      </w:r>
      <w:r w:rsidR="00924275" w:rsidRPr="00020E0A">
        <w:rPr>
          <w:rFonts w:ascii="Arial" w:hAnsi="Arial" w:cs="Arial"/>
          <w:sz w:val="36"/>
          <w:lang w:val="en-GB"/>
        </w:rPr>
        <w:t xml:space="preserve">ycle </w:t>
      </w:r>
      <w:r w:rsidR="00E52CC4">
        <w:rPr>
          <w:rFonts w:ascii="Arial" w:hAnsi="Arial" w:cs="Arial"/>
          <w:sz w:val="36"/>
          <w:lang w:val="en-GB"/>
        </w:rPr>
        <w:t xml:space="preserve">(Doctoral) </w:t>
      </w:r>
      <w:r w:rsidR="00924275" w:rsidRPr="00020E0A">
        <w:rPr>
          <w:rFonts w:ascii="Arial" w:hAnsi="Arial" w:cs="Arial"/>
          <w:sz w:val="36"/>
          <w:lang w:val="en-GB"/>
        </w:rPr>
        <w:t xml:space="preserve">Education in </w:t>
      </w:r>
      <w:r w:rsidR="00C54BE0" w:rsidRPr="00C54BE0">
        <w:rPr>
          <w:rFonts w:ascii="Arial" w:hAnsi="Arial" w:cs="Arial"/>
          <w:sz w:val="36"/>
          <w:lang w:val="en-GB"/>
        </w:rPr>
        <w:t>Gender Studies</w:t>
      </w:r>
    </w:p>
    <w:p w14:paraId="2E4FDF80" w14:textId="77777777" w:rsidR="00EB2F53" w:rsidRPr="00020E0A" w:rsidRDefault="00EB2F53" w:rsidP="00EB2F53">
      <w:pPr>
        <w:rPr>
          <w:lang w:val="en-GB"/>
        </w:rPr>
      </w:pPr>
    </w:p>
    <w:p w14:paraId="493E100F" w14:textId="14ED8A79" w:rsidR="00EB2F53" w:rsidRPr="00020E0A" w:rsidRDefault="00924275" w:rsidP="00EB2F53">
      <w:pPr>
        <w:rPr>
          <w:rFonts w:ascii="Arial" w:hAnsi="Arial" w:cs="Arial"/>
          <w:sz w:val="30"/>
          <w:szCs w:val="30"/>
          <w:lang w:val="en-GB"/>
        </w:rPr>
      </w:pPr>
      <w:r w:rsidRPr="00020E0A">
        <w:rPr>
          <w:rFonts w:ascii="Arial" w:hAnsi="Arial" w:cs="Arial"/>
          <w:sz w:val="30"/>
          <w:szCs w:val="30"/>
          <w:lang w:val="en-GB"/>
        </w:rPr>
        <w:t>Decision</w:t>
      </w:r>
    </w:p>
    <w:p w14:paraId="77E601B2" w14:textId="46401F3F" w:rsidR="00924275" w:rsidRPr="00020E0A" w:rsidRDefault="00924275" w:rsidP="00EB2F53">
      <w:pPr>
        <w:rPr>
          <w:b/>
          <w:lang w:val="en-GB"/>
        </w:rPr>
      </w:pPr>
      <w:r w:rsidRPr="00020E0A">
        <w:rPr>
          <w:lang w:val="en-GB"/>
        </w:rPr>
        <w:t xml:space="preserve">This syllabus was established by the Board of the Faculty of Arts </w:t>
      </w:r>
      <w:r w:rsidR="004A2854" w:rsidRPr="00020E0A">
        <w:rPr>
          <w:lang w:val="en-GB"/>
        </w:rPr>
        <w:t xml:space="preserve">on </w:t>
      </w:r>
      <w:r w:rsidR="00C54BE0" w:rsidRPr="00C54BE0">
        <w:rPr>
          <w:lang w:val="en-GB"/>
        </w:rPr>
        <w:t>25 May 2021</w:t>
      </w:r>
      <w:r w:rsidRPr="00020E0A">
        <w:rPr>
          <w:lang w:val="en-GB"/>
        </w:rPr>
        <w:t xml:space="preserve">, </w:t>
      </w:r>
      <w:r w:rsidR="00C53525" w:rsidRPr="00020E0A">
        <w:rPr>
          <w:lang w:val="en-GB"/>
        </w:rPr>
        <w:t xml:space="preserve">and </w:t>
      </w:r>
      <w:r w:rsidR="004115B3" w:rsidRPr="00020E0A">
        <w:rPr>
          <w:lang w:val="en-GB"/>
        </w:rPr>
        <w:t xml:space="preserve">takes </w:t>
      </w:r>
      <w:r w:rsidRPr="00020E0A">
        <w:rPr>
          <w:lang w:val="en-GB"/>
        </w:rPr>
        <w:t xml:space="preserve">effect </w:t>
      </w:r>
      <w:r w:rsidR="004A2854" w:rsidRPr="00020E0A">
        <w:rPr>
          <w:lang w:val="en-GB"/>
        </w:rPr>
        <w:t xml:space="preserve">on </w:t>
      </w:r>
      <w:r w:rsidR="00C54BE0" w:rsidRPr="00C54BE0">
        <w:rPr>
          <w:lang w:val="en-GB"/>
        </w:rPr>
        <w:t>1 July 2021</w:t>
      </w:r>
      <w:r w:rsidRPr="00C54BE0">
        <w:rPr>
          <w:lang w:val="en-GB"/>
        </w:rPr>
        <w:t>.</w:t>
      </w:r>
      <w:r w:rsidRPr="00020E0A">
        <w:rPr>
          <w:b/>
          <w:lang w:val="en-GB"/>
        </w:rPr>
        <w:t xml:space="preserve"> </w:t>
      </w:r>
    </w:p>
    <w:p w14:paraId="2F746836" w14:textId="77777777" w:rsidR="00020E0A" w:rsidRPr="00020E0A" w:rsidRDefault="00020E0A" w:rsidP="00020E0A">
      <w:pPr>
        <w:rPr>
          <w:szCs w:val="21"/>
          <w:lang w:val="en-GB"/>
        </w:rPr>
      </w:pPr>
      <w:r w:rsidRPr="00020E0A">
        <w:rPr>
          <w:szCs w:val="21"/>
          <w:lang w:val="en-GB"/>
        </w:rPr>
        <w:t xml:space="preserve">In case of any inconsistency between this document and the Swedish version, the Swedish version takes precedence. </w:t>
      </w:r>
    </w:p>
    <w:p w14:paraId="7227BE4B" w14:textId="0475A259" w:rsidR="002F7B71" w:rsidRPr="00020E0A" w:rsidRDefault="00EB2F53" w:rsidP="00EB2F53">
      <w:pPr>
        <w:pStyle w:val="Rubrik2"/>
        <w:rPr>
          <w:lang w:val="en-GB"/>
        </w:rPr>
      </w:pPr>
      <w:r w:rsidRPr="00020E0A">
        <w:rPr>
          <w:lang w:val="en-GB"/>
        </w:rPr>
        <w:br/>
      </w:r>
      <w:bookmarkStart w:id="1" w:name="_Toc81558106"/>
      <w:r w:rsidR="002F7B71" w:rsidRPr="00020E0A">
        <w:rPr>
          <w:lang w:val="en-GB"/>
        </w:rPr>
        <w:t xml:space="preserve">1. </w:t>
      </w:r>
      <w:r w:rsidR="00C64BE8">
        <w:rPr>
          <w:lang w:val="en-GB"/>
        </w:rPr>
        <w:t>Intended learning outcomes and frame of reference for t</w:t>
      </w:r>
      <w:r w:rsidR="00C64BE8" w:rsidRPr="0095082A">
        <w:rPr>
          <w:lang w:val="en-GB"/>
        </w:rPr>
        <w:t>hird-</w:t>
      </w:r>
      <w:r w:rsidR="00C64BE8">
        <w:rPr>
          <w:lang w:val="en-GB"/>
        </w:rPr>
        <w:t>c</w:t>
      </w:r>
      <w:r w:rsidR="00C64BE8" w:rsidRPr="0095082A">
        <w:rPr>
          <w:lang w:val="en-GB"/>
        </w:rPr>
        <w:t xml:space="preserve">ycle </w:t>
      </w:r>
      <w:r w:rsidR="00C64BE8">
        <w:rPr>
          <w:lang w:val="en-GB"/>
        </w:rPr>
        <w:t>(doctoral) e</w:t>
      </w:r>
      <w:r w:rsidR="00C64BE8" w:rsidRPr="0095082A">
        <w:rPr>
          <w:lang w:val="en-GB"/>
        </w:rPr>
        <w:t>ducation</w:t>
      </w:r>
      <w:bookmarkEnd w:id="1"/>
    </w:p>
    <w:p w14:paraId="7F3E8819" w14:textId="0B61A623" w:rsidR="00924275" w:rsidRPr="00020E0A" w:rsidRDefault="00924275" w:rsidP="00924275">
      <w:pPr>
        <w:spacing w:line="276" w:lineRule="auto"/>
        <w:rPr>
          <w:lang w:val="en-GB"/>
        </w:rPr>
      </w:pPr>
      <w:r w:rsidRPr="00020E0A">
        <w:rPr>
          <w:lang w:val="en-GB"/>
        </w:rPr>
        <w:t>According to the Qualifications Ordinance, Annex 2 to the Higher Education Ordinance</w:t>
      </w:r>
      <w:r w:rsidR="00B83186" w:rsidRPr="00020E0A">
        <w:rPr>
          <w:lang w:val="en-GB"/>
        </w:rPr>
        <w:t xml:space="preserve"> (HEO</w:t>
      </w:r>
      <w:r w:rsidR="00DF1BF2" w:rsidRPr="00020E0A">
        <w:rPr>
          <w:lang w:val="en-GB"/>
        </w:rPr>
        <w:t>)</w:t>
      </w:r>
      <w:r w:rsidRPr="00020E0A">
        <w:rPr>
          <w:lang w:val="en-GB"/>
        </w:rPr>
        <w:t xml:space="preserve">, </w:t>
      </w:r>
      <w:r w:rsidR="001471E2" w:rsidRPr="00020E0A">
        <w:rPr>
          <w:lang w:val="en-GB"/>
        </w:rPr>
        <w:t xml:space="preserve">for the Degree of Doctor </w:t>
      </w:r>
      <w:r w:rsidRPr="00020E0A">
        <w:rPr>
          <w:lang w:val="en-GB"/>
        </w:rPr>
        <w:t xml:space="preserve">the doctoral candidate must: </w:t>
      </w:r>
    </w:p>
    <w:p w14:paraId="25E2F3D3" w14:textId="4F5D639E" w:rsidR="00924275" w:rsidRPr="00E84CB9"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 xml:space="preserve">demonstrate broad knowledge and </w:t>
      </w:r>
      <w:r w:rsidRPr="00E84CB9">
        <w:rPr>
          <w:rFonts w:eastAsia="Times New Roman"/>
          <w:color w:val="000000"/>
          <w:szCs w:val="21"/>
          <w:lang w:val="en-GB"/>
        </w:rPr>
        <w:t xml:space="preserve">systematic understanding of </w:t>
      </w:r>
      <w:r w:rsidR="00C54BE0" w:rsidRPr="00E84CB9">
        <w:rPr>
          <w:rFonts w:eastAsia="Times New Roman"/>
          <w:color w:val="000000"/>
          <w:szCs w:val="21"/>
          <w:lang w:val="en-GB"/>
        </w:rPr>
        <w:t>gender studies</w:t>
      </w:r>
      <w:r w:rsidRPr="00E84CB9">
        <w:rPr>
          <w:rFonts w:eastAsia="Times New Roman"/>
          <w:color w:val="000000"/>
          <w:szCs w:val="21"/>
          <w:lang w:val="en-GB"/>
        </w:rPr>
        <w:t xml:space="preserve"> as well as advanced and up-to-date specialised knowledge in a limited area </w:t>
      </w:r>
      <w:r w:rsidR="001471E2" w:rsidRPr="00E84CB9">
        <w:rPr>
          <w:rFonts w:eastAsia="Times New Roman"/>
          <w:color w:val="000000"/>
          <w:szCs w:val="21"/>
          <w:lang w:val="en-GB"/>
        </w:rPr>
        <w:t xml:space="preserve">within </w:t>
      </w:r>
      <w:r w:rsidR="00C54BE0" w:rsidRPr="00E84CB9">
        <w:rPr>
          <w:rFonts w:eastAsia="Times New Roman"/>
          <w:color w:val="000000"/>
          <w:szCs w:val="21"/>
          <w:lang w:val="en-GB"/>
        </w:rPr>
        <w:t>the interdisciplinary subject of gender studies</w:t>
      </w:r>
    </w:p>
    <w:p w14:paraId="0EB0996E" w14:textId="6030B53F" w:rsidR="00924275" w:rsidRPr="00E84CB9"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E84CB9">
        <w:rPr>
          <w:rFonts w:eastAsia="Times New Roman"/>
          <w:color w:val="000000"/>
          <w:szCs w:val="21"/>
          <w:lang w:val="en-GB"/>
        </w:rPr>
        <w:t xml:space="preserve">demonstrate familiarity with research methodology in general and the methods of </w:t>
      </w:r>
      <w:r w:rsidR="00E84CB9" w:rsidRPr="00E84CB9">
        <w:rPr>
          <w:rFonts w:eastAsia="Times New Roman"/>
          <w:color w:val="000000"/>
          <w:szCs w:val="21"/>
          <w:lang w:val="en-GB"/>
        </w:rPr>
        <w:t>gender studies</w:t>
      </w:r>
      <w:r w:rsidR="001471E2" w:rsidRPr="00E84CB9">
        <w:rPr>
          <w:rFonts w:eastAsia="Times New Roman"/>
          <w:color w:val="000000"/>
          <w:szCs w:val="21"/>
          <w:lang w:val="en-GB"/>
        </w:rPr>
        <w:t xml:space="preserve"> </w:t>
      </w:r>
      <w:r w:rsidRPr="00E84CB9">
        <w:rPr>
          <w:rFonts w:eastAsia="Times New Roman"/>
          <w:color w:val="000000"/>
          <w:szCs w:val="21"/>
          <w:lang w:val="en-GB"/>
        </w:rPr>
        <w:t>in particular</w:t>
      </w:r>
    </w:p>
    <w:p w14:paraId="0B230BC2" w14:textId="77777777"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demonstrate the capacity for scholarly analysis and synthesis as well as to review and assess new and complex phenomena, issues and situations autonomously and critically</w:t>
      </w:r>
    </w:p>
    <w:p w14:paraId="5A86BCDC" w14:textId="77777777"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p w14:paraId="7E082447" w14:textId="12112CCE"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 xml:space="preserve">demonstrate through a dissertation the ability to make a significant contribution to the formation of knowledge through </w:t>
      </w:r>
      <w:r w:rsidR="00FF6039">
        <w:rPr>
          <w:rFonts w:eastAsia="Times New Roman"/>
          <w:color w:val="000000"/>
          <w:szCs w:val="21"/>
          <w:lang w:val="en-GB"/>
        </w:rPr>
        <w:t>their</w:t>
      </w:r>
      <w:r w:rsidRPr="00020E0A">
        <w:rPr>
          <w:rFonts w:eastAsia="Times New Roman"/>
          <w:color w:val="000000"/>
          <w:szCs w:val="21"/>
          <w:lang w:val="en-GB"/>
        </w:rPr>
        <w:t xml:space="preserve"> own research</w:t>
      </w:r>
    </w:p>
    <w:p w14:paraId="1964A843" w14:textId="77777777"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demonstrate the ability in both national and international contexts to present and discuss research and research findings authoritatively in speech and writing and in dialogue with the academic community and society in general</w:t>
      </w:r>
    </w:p>
    <w:p w14:paraId="4597DE8B" w14:textId="4554D0C5"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demonstrate the ability to identify th</w:t>
      </w:r>
      <w:r w:rsidR="001471E2" w:rsidRPr="00020E0A">
        <w:rPr>
          <w:rFonts w:eastAsia="Times New Roman"/>
          <w:color w:val="000000"/>
          <w:szCs w:val="21"/>
          <w:lang w:val="en-GB"/>
        </w:rPr>
        <w:t>e need for further knowledge</w:t>
      </w:r>
    </w:p>
    <w:p w14:paraId="6E4149EB" w14:textId="77777777"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demonstrate the capacity to contribute to social development and support the learning of others both through research and education and in some other qualified professional capacity</w:t>
      </w:r>
    </w:p>
    <w:p w14:paraId="5242EB28" w14:textId="00D9396C"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demonstrate intellectual autonomy and disciplinary rectitude as well as the ability to make ass</w:t>
      </w:r>
      <w:r w:rsidR="001471E2" w:rsidRPr="00020E0A">
        <w:rPr>
          <w:rFonts w:eastAsia="Times New Roman"/>
          <w:color w:val="000000"/>
          <w:szCs w:val="21"/>
          <w:lang w:val="en-GB"/>
        </w:rPr>
        <w:t>essments of research ethics</w:t>
      </w:r>
    </w:p>
    <w:p w14:paraId="6C442FE0" w14:textId="77777777" w:rsidR="00924275" w:rsidRPr="00020E0A" w:rsidRDefault="00924275" w:rsidP="00924275">
      <w:pPr>
        <w:numPr>
          <w:ilvl w:val="0"/>
          <w:numId w:val="18"/>
        </w:numPr>
        <w:shd w:val="clear" w:color="auto" w:fill="FFFFFF"/>
        <w:spacing w:before="100" w:beforeAutospacing="1" w:after="100" w:afterAutospacing="1" w:line="276" w:lineRule="auto"/>
        <w:rPr>
          <w:rFonts w:eastAsia="Times New Roman"/>
          <w:color w:val="000000"/>
          <w:szCs w:val="21"/>
          <w:lang w:val="en-GB"/>
        </w:rPr>
      </w:pPr>
      <w:r w:rsidRPr="00020E0A">
        <w:rPr>
          <w:rFonts w:eastAsia="Times New Roman"/>
          <w:color w:val="000000"/>
          <w:szCs w:val="21"/>
          <w:lang w:val="en-GB"/>
        </w:rPr>
        <w:t>demonstrate specialised insight into the possibilities and limitations of research, its role in society and the responsibility of the individual for how it is used.</w:t>
      </w:r>
    </w:p>
    <w:p w14:paraId="4AFCB803" w14:textId="3F978D7E" w:rsidR="002C10FB" w:rsidRPr="00020E0A" w:rsidRDefault="002C10FB" w:rsidP="002F7B71">
      <w:pPr>
        <w:rPr>
          <w:lang w:val="en-GB"/>
        </w:rPr>
      </w:pPr>
      <w:r w:rsidRPr="00AA0E64">
        <w:rPr>
          <w:lang w:val="en-GB"/>
        </w:rPr>
        <w:t xml:space="preserve">These goals are met through </w:t>
      </w:r>
      <w:r w:rsidR="00AA0E64" w:rsidRPr="00AA0E64">
        <w:rPr>
          <w:lang w:val="en-GB"/>
        </w:rPr>
        <w:t xml:space="preserve">the doctoral student carrying out an independent research study and composing a dissertation on the basis of the results, but also through </w:t>
      </w:r>
      <w:r w:rsidRPr="00AA0E64">
        <w:rPr>
          <w:lang w:val="en-GB"/>
        </w:rPr>
        <w:t xml:space="preserve">course work, dissertation work, active participation in seminars, participation in the scientific community through e.g. publications, </w:t>
      </w:r>
      <w:r w:rsidRPr="00AA0E64">
        <w:rPr>
          <w:lang w:val="en-GB"/>
        </w:rPr>
        <w:lastRenderedPageBreak/>
        <w:t xml:space="preserve">conference presentations and through continuously keeping up-to-date with current research in </w:t>
      </w:r>
      <w:r w:rsidR="00AA0E64" w:rsidRPr="00AA0E64">
        <w:rPr>
          <w:lang w:val="en-GB"/>
        </w:rPr>
        <w:t>subfields of gender studies relevant for the dissertation.</w:t>
      </w:r>
    </w:p>
    <w:p w14:paraId="1AAE6947" w14:textId="5F58A47D" w:rsidR="002C10FB" w:rsidRPr="00020E0A" w:rsidRDefault="003112BD" w:rsidP="002C10FB">
      <w:pPr>
        <w:pStyle w:val="Rubrik2"/>
        <w:rPr>
          <w:lang w:val="en-GB"/>
        </w:rPr>
      </w:pPr>
      <w:bookmarkStart w:id="2" w:name="_Toc81558107"/>
      <w:r w:rsidRPr="00020E0A">
        <w:rPr>
          <w:lang w:val="en-GB"/>
        </w:rPr>
        <w:t>2. Admission</w:t>
      </w:r>
      <w:r w:rsidR="002C10FB" w:rsidRPr="00020E0A">
        <w:rPr>
          <w:lang w:val="en-GB"/>
        </w:rPr>
        <w:t xml:space="preserve"> Requirements and Eligibility</w:t>
      </w:r>
      <w:bookmarkEnd w:id="2"/>
    </w:p>
    <w:p w14:paraId="3228903C" w14:textId="696A5723" w:rsidR="002C10FB" w:rsidRPr="00020E0A" w:rsidRDefault="002C10FB" w:rsidP="002C10FB">
      <w:pPr>
        <w:rPr>
          <w:lang w:val="en-GB"/>
        </w:rPr>
      </w:pPr>
      <w:r w:rsidRPr="00020E0A">
        <w:rPr>
          <w:lang w:val="en-GB"/>
        </w:rPr>
        <w:t xml:space="preserve">To be admitted to studies at the graduate level, applicants must be generally eligible and meet any special requirements for eligibility laid down by the faculty board, and be judged to possess the general capabilities needed for the successful completion of the studies (cf. </w:t>
      </w:r>
      <w:r w:rsidR="00020E0A" w:rsidRPr="00020E0A">
        <w:rPr>
          <w:lang w:val="en-GB"/>
        </w:rPr>
        <w:t xml:space="preserve">HEO </w:t>
      </w:r>
      <w:r w:rsidRPr="00020E0A">
        <w:rPr>
          <w:lang w:val="en-GB"/>
        </w:rPr>
        <w:t>Ch. 7 Sec. 35, AFUU</w:t>
      </w:r>
      <w:r w:rsidR="00020E0A" w:rsidRPr="00020E0A">
        <w:rPr>
          <w:lang w:val="en-GB"/>
        </w:rPr>
        <w:t xml:space="preserve"> Sec. 2</w:t>
      </w:r>
      <w:r w:rsidRPr="00020E0A">
        <w:rPr>
          <w:lang w:val="en-GB"/>
        </w:rPr>
        <w:t xml:space="preserve">, </w:t>
      </w:r>
      <w:r w:rsidR="00186CF4" w:rsidRPr="00020E0A">
        <w:rPr>
          <w:lang w:val="en-GB"/>
        </w:rPr>
        <w:t>R</w:t>
      </w:r>
      <w:r w:rsidR="00020E0A" w:rsidRPr="00020E0A">
        <w:rPr>
          <w:lang w:val="en-GB"/>
        </w:rPr>
        <w:t>UF Sec. 4</w:t>
      </w:r>
      <w:r w:rsidRPr="00020E0A">
        <w:rPr>
          <w:lang w:val="en-GB"/>
        </w:rPr>
        <w:t>, SFS 2010: 1064).</w:t>
      </w:r>
    </w:p>
    <w:p w14:paraId="31079519" w14:textId="7EEC0670" w:rsidR="002C10FB" w:rsidRPr="00020E0A" w:rsidRDefault="002C10FB" w:rsidP="002C10FB">
      <w:pPr>
        <w:pStyle w:val="Rubrik3"/>
        <w:rPr>
          <w:lang w:val="en-GB"/>
        </w:rPr>
      </w:pPr>
      <w:bookmarkStart w:id="3" w:name="_Toc81558108"/>
      <w:r w:rsidRPr="00020E0A">
        <w:rPr>
          <w:lang w:val="en-GB"/>
        </w:rPr>
        <w:t>2.1 General eligibility</w:t>
      </w:r>
      <w:r w:rsidR="003B59C6" w:rsidRPr="00020E0A">
        <w:rPr>
          <w:lang w:val="en-GB"/>
        </w:rPr>
        <w:t xml:space="preserve"> requirements</w:t>
      </w:r>
      <w:bookmarkEnd w:id="3"/>
    </w:p>
    <w:p w14:paraId="10AA22FF" w14:textId="77777777" w:rsidR="00AA45FE" w:rsidRDefault="003B59C6" w:rsidP="002C10FB">
      <w:pPr>
        <w:rPr>
          <w:lang w:val="en-GB"/>
        </w:rPr>
      </w:pPr>
      <w:r w:rsidRPr="00020E0A">
        <w:rPr>
          <w:lang w:val="en-GB"/>
        </w:rPr>
        <w:t xml:space="preserve">Applicants </w:t>
      </w:r>
      <w:r w:rsidR="00E52CC4" w:rsidRPr="00020E0A">
        <w:rPr>
          <w:lang w:val="en-GB"/>
        </w:rPr>
        <w:t>fu</w:t>
      </w:r>
      <w:r w:rsidR="00E52CC4">
        <w:rPr>
          <w:lang w:val="en-GB"/>
        </w:rPr>
        <w:t>l</w:t>
      </w:r>
      <w:r w:rsidR="00E52CC4" w:rsidRPr="00020E0A">
        <w:rPr>
          <w:lang w:val="en-GB"/>
        </w:rPr>
        <w:t>fil</w:t>
      </w:r>
      <w:r w:rsidR="00020E0A" w:rsidRPr="00020E0A">
        <w:rPr>
          <w:lang w:val="en-GB"/>
        </w:rPr>
        <w:t xml:space="preserve"> the requirement</w:t>
      </w:r>
      <w:r w:rsidR="00FF6039">
        <w:rPr>
          <w:lang w:val="en-GB"/>
        </w:rPr>
        <w:t>s</w:t>
      </w:r>
      <w:r w:rsidR="00020E0A" w:rsidRPr="00020E0A">
        <w:rPr>
          <w:lang w:val="en-GB"/>
        </w:rPr>
        <w:t xml:space="preserve"> for general eligibility</w:t>
      </w:r>
      <w:r w:rsidRPr="00020E0A">
        <w:rPr>
          <w:lang w:val="en-GB"/>
        </w:rPr>
        <w:t xml:space="preserve"> for </w:t>
      </w:r>
      <w:r w:rsidR="00020E0A" w:rsidRPr="00020E0A">
        <w:rPr>
          <w:lang w:val="en-GB"/>
        </w:rPr>
        <w:t xml:space="preserve">doctoral </w:t>
      </w:r>
      <w:r w:rsidRPr="00020E0A">
        <w:rPr>
          <w:lang w:val="en-GB"/>
        </w:rPr>
        <w:t>program</w:t>
      </w:r>
      <w:r w:rsidR="00020E0A" w:rsidRPr="00020E0A">
        <w:rPr>
          <w:lang w:val="en-GB"/>
        </w:rPr>
        <w:t>me</w:t>
      </w:r>
      <w:r w:rsidRPr="00020E0A">
        <w:rPr>
          <w:lang w:val="en-GB"/>
        </w:rPr>
        <w:t>s if they have</w:t>
      </w:r>
      <w:r w:rsidR="00AA45FE">
        <w:rPr>
          <w:lang w:val="en-GB"/>
        </w:rPr>
        <w:t xml:space="preserve"> one of the following: </w:t>
      </w:r>
    </w:p>
    <w:p w14:paraId="581336BB" w14:textId="72B8449F" w:rsidR="00AA45FE" w:rsidRPr="00AA45FE" w:rsidRDefault="00FF6039" w:rsidP="00AA45FE">
      <w:pPr>
        <w:pStyle w:val="Liststycke"/>
        <w:numPr>
          <w:ilvl w:val="0"/>
          <w:numId w:val="23"/>
        </w:numPr>
        <w:rPr>
          <w:lang w:val="en-GB"/>
        </w:rPr>
      </w:pPr>
      <w:r w:rsidRPr="00AA45FE">
        <w:rPr>
          <w:lang w:val="en-GB"/>
        </w:rPr>
        <w:t>second-cycle qualification</w:t>
      </w:r>
      <w:r w:rsidR="00AA45FE">
        <w:rPr>
          <w:lang w:val="en-GB"/>
        </w:rPr>
        <w:t>,</w:t>
      </w:r>
    </w:p>
    <w:p w14:paraId="6DA682C3" w14:textId="77777777" w:rsidR="00AA45FE" w:rsidRDefault="003B59C6" w:rsidP="00AA45FE">
      <w:pPr>
        <w:pStyle w:val="Liststycke"/>
        <w:numPr>
          <w:ilvl w:val="0"/>
          <w:numId w:val="23"/>
        </w:numPr>
        <w:rPr>
          <w:lang w:val="en-GB"/>
        </w:rPr>
      </w:pPr>
      <w:r w:rsidRPr="00AA45FE">
        <w:rPr>
          <w:lang w:val="en-GB"/>
        </w:rPr>
        <w:t xml:space="preserve">completed at least 240 academic credits’ worth of courses, with at least 60 academic credits </w:t>
      </w:r>
      <w:r w:rsidR="00FF6039" w:rsidRPr="00AA45FE">
        <w:rPr>
          <w:lang w:val="en-GB"/>
        </w:rPr>
        <w:t>from second-cycle education</w:t>
      </w:r>
      <w:r w:rsidRPr="00AA45FE">
        <w:rPr>
          <w:lang w:val="en-GB"/>
        </w:rPr>
        <w:t xml:space="preserve">, </w:t>
      </w:r>
      <w:r w:rsidRPr="00AA45FE">
        <w:rPr>
          <w:i/>
          <w:lang w:val="en-GB"/>
        </w:rPr>
        <w:t>or</w:t>
      </w:r>
      <w:r w:rsidRPr="00AA45FE">
        <w:rPr>
          <w:lang w:val="en-GB"/>
        </w:rPr>
        <w:t xml:space="preserve"> </w:t>
      </w:r>
    </w:p>
    <w:p w14:paraId="2A397B10" w14:textId="77777777" w:rsidR="00AA45FE" w:rsidRDefault="003B59C6" w:rsidP="00AA45FE">
      <w:pPr>
        <w:pStyle w:val="Liststycke"/>
        <w:numPr>
          <w:ilvl w:val="0"/>
          <w:numId w:val="23"/>
        </w:numPr>
        <w:rPr>
          <w:lang w:val="en-GB"/>
        </w:rPr>
      </w:pPr>
      <w:r w:rsidRPr="00AA45FE">
        <w:rPr>
          <w:lang w:val="en-GB"/>
        </w:rPr>
        <w:t xml:space="preserve">acquired the equivalent knowledge in some other manner either in Sweden or abroad. </w:t>
      </w:r>
    </w:p>
    <w:p w14:paraId="24656F44" w14:textId="20244360" w:rsidR="002C10FB" w:rsidRPr="00AA45FE" w:rsidRDefault="003B59C6" w:rsidP="00AA45FE">
      <w:pPr>
        <w:rPr>
          <w:lang w:val="en-GB"/>
        </w:rPr>
      </w:pPr>
      <w:r w:rsidRPr="00AA45FE">
        <w:rPr>
          <w:lang w:val="en-GB"/>
        </w:rPr>
        <w:t xml:space="preserve">The faculty board may grant an exemption from the general eligibility requirements for an individual applicant if there are special reasons to do so (cf. </w:t>
      </w:r>
      <w:r w:rsidR="00020E0A" w:rsidRPr="00AA45FE">
        <w:rPr>
          <w:lang w:val="en-GB"/>
        </w:rPr>
        <w:t xml:space="preserve">HEO </w:t>
      </w:r>
      <w:r w:rsidRPr="00AA45FE">
        <w:rPr>
          <w:lang w:val="en-GB"/>
        </w:rPr>
        <w:t>Ch. 7 Sec</w:t>
      </w:r>
      <w:r w:rsidR="007E7AE2" w:rsidRPr="00AA45FE">
        <w:rPr>
          <w:lang w:val="en-GB"/>
        </w:rPr>
        <w:t>.</w:t>
      </w:r>
      <w:r w:rsidRPr="00AA45FE">
        <w:rPr>
          <w:lang w:val="en-GB"/>
        </w:rPr>
        <w:t xml:space="preserve"> 39</w:t>
      </w:r>
      <w:r w:rsidR="00020E0A" w:rsidRPr="00AA45FE">
        <w:rPr>
          <w:lang w:val="en-GB"/>
        </w:rPr>
        <w:t>,</w:t>
      </w:r>
      <w:r w:rsidRPr="00AA45FE">
        <w:rPr>
          <w:lang w:val="en-GB"/>
        </w:rPr>
        <w:t xml:space="preserve"> </w:t>
      </w:r>
      <w:r w:rsidR="00020E0A" w:rsidRPr="00AA45FE">
        <w:rPr>
          <w:lang w:val="en-GB"/>
        </w:rPr>
        <w:t xml:space="preserve">AFUU Sec. </w:t>
      </w:r>
      <w:r w:rsidRPr="00AA45FE">
        <w:rPr>
          <w:lang w:val="en-GB"/>
        </w:rPr>
        <w:t xml:space="preserve">2). </w:t>
      </w:r>
    </w:p>
    <w:p w14:paraId="56B1DE31" w14:textId="04244808" w:rsidR="003B59C6" w:rsidRPr="00020E0A" w:rsidRDefault="003B59C6" w:rsidP="003B59C6">
      <w:pPr>
        <w:pStyle w:val="Rubrik3"/>
        <w:rPr>
          <w:lang w:val="en-GB"/>
        </w:rPr>
      </w:pPr>
      <w:bookmarkStart w:id="4" w:name="_Toc81558109"/>
      <w:r w:rsidRPr="00020E0A">
        <w:rPr>
          <w:lang w:val="en-GB"/>
        </w:rPr>
        <w:t>2.2 Special eligibility requirements</w:t>
      </w:r>
      <w:bookmarkEnd w:id="4"/>
    </w:p>
    <w:p w14:paraId="34734368" w14:textId="1260C787" w:rsidR="003B59C6" w:rsidRPr="00020E0A" w:rsidRDefault="003B59C6" w:rsidP="003B59C6">
      <w:pPr>
        <w:rPr>
          <w:lang w:val="en-GB"/>
        </w:rPr>
      </w:pPr>
      <w:r w:rsidRPr="00C85EBB">
        <w:rPr>
          <w:lang w:val="en-GB"/>
        </w:rPr>
        <w:t xml:space="preserve">In addition to the general eligibility requirements stated above, applicants must also </w:t>
      </w:r>
      <w:r w:rsidR="00FF6039" w:rsidRPr="00C85EBB">
        <w:rPr>
          <w:lang w:val="en-GB"/>
        </w:rPr>
        <w:t xml:space="preserve">have </w:t>
      </w:r>
      <w:r w:rsidR="00AA45FE" w:rsidRPr="00C85EBB">
        <w:rPr>
          <w:lang w:val="en-GB"/>
        </w:rPr>
        <w:t xml:space="preserve">at least 60 academic credits in gender studies or other gender studies related subject. In special cases applicants without an education in gender studies or equivalent may be considered. In such cases the elective courses within the PhD programme will be partly or completely substituted with </w:t>
      </w:r>
      <w:r w:rsidR="00A34CE7" w:rsidRPr="00C85EBB">
        <w:rPr>
          <w:lang w:val="en-GB"/>
        </w:rPr>
        <w:t>specially designed orientation courses in gender studies (cf. section 5. Courses).</w:t>
      </w:r>
    </w:p>
    <w:p w14:paraId="2713230F" w14:textId="1E1AE1D9" w:rsidR="002C10FB" w:rsidRPr="00020E0A" w:rsidRDefault="00CA1A4B" w:rsidP="00CA1A4B">
      <w:pPr>
        <w:pStyle w:val="Rubrik2"/>
        <w:rPr>
          <w:lang w:val="en-GB"/>
        </w:rPr>
      </w:pPr>
      <w:bookmarkStart w:id="5" w:name="_Toc81558110"/>
      <w:r w:rsidRPr="00020E0A">
        <w:rPr>
          <w:lang w:val="en-GB"/>
        </w:rPr>
        <w:t xml:space="preserve">3. </w:t>
      </w:r>
      <w:r w:rsidR="004115B3" w:rsidRPr="00020E0A">
        <w:rPr>
          <w:lang w:val="en-GB"/>
        </w:rPr>
        <w:t>Admission and Selection Procedure</w:t>
      </w:r>
      <w:bookmarkEnd w:id="5"/>
    </w:p>
    <w:p w14:paraId="401E8CC9" w14:textId="3877DFDE" w:rsidR="00CA1A4B" w:rsidRPr="00020E0A" w:rsidRDefault="00CA1A4B" w:rsidP="00CA1A4B">
      <w:pPr>
        <w:pStyle w:val="Rubrik3"/>
        <w:rPr>
          <w:lang w:val="en-GB"/>
        </w:rPr>
      </w:pPr>
      <w:bookmarkStart w:id="6" w:name="_Toc81558111"/>
      <w:r w:rsidRPr="00020E0A">
        <w:rPr>
          <w:lang w:val="en-GB"/>
        </w:rPr>
        <w:t>3.1 Information and advertising of posts</w:t>
      </w:r>
      <w:bookmarkEnd w:id="6"/>
    </w:p>
    <w:p w14:paraId="69D423A8" w14:textId="181384BA" w:rsidR="00CA1A4B" w:rsidRPr="00020E0A" w:rsidRDefault="00CA1A4B" w:rsidP="00CA1A4B">
      <w:pPr>
        <w:rPr>
          <w:lang w:val="en-GB"/>
        </w:rPr>
      </w:pPr>
      <w:r w:rsidRPr="00020E0A">
        <w:rPr>
          <w:lang w:val="en-GB"/>
        </w:rPr>
        <w:t xml:space="preserve">Notice of the opportunity to apply for admission to </w:t>
      </w:r>
      <w:r w:rsidR="00020E0A" w:rsidRPr="00020E0A">
        <w:rPr>
          <w:lang w:val="en-GB"/>
        </w:rPr>
        <w:t>doctoral</w:t>
      </w:r>
      <w:r w:rsidR="006B6680" w:rsidRPr="00020E0A">
        <w:rPr>
          <w:lang w:val="en-GB"/>
        </w:rPr>
        <w:t xml:space="preserve"> education</w:t>
      </w:r>
      <w:r w:rsidRPr="00020E0A">
        <w:rPr>
          <w:lang w:val="en-GB"/>
        </w:rPr>
        <w:t xml:space="preserve"> must be available locally and on the University </w:t>
      </w:r>
      <w:r w:rsidR="00FF6039">
        <w:rPr>
          <w:lang w:val="en-GB"/>
        </w:rPr>
        <w:t xml:space="preserve">website </w:t>
      </w:r>
      <w:r w:rsidRPr="00020E0A">
        <w:rPr>
          <w:lang w:val="en-GB"/>
        </w:rPr>
        <w:t>(</w:t>
      </w:r>
      <w:hyperlink r:id="rId9" w:history="1">
        <w:r w:rsidRPr="00020E0A">
          <w:rPr>
            <w:rStyle w:val="Hyperlnk"/>
            <w:lang w:val="en-GB"/>
          </w:rPr>
          <w:t>www.uu.se</w:t>
        </w:r>
      </w:hyperlink>
      <w:r w:rsidRPr="00020E0A">
        <w:rPr>
          <w:lang w:val="en-GB"/>
        </w:rPr>
        <w:t xml:space="preserve">) at least three weeks prior to the deadline for applications. Moreover, the department </w:t>
      </w:r>
      <w:r w:rsidR="00FF6039">
        <w:rPr>
          <w:lang w:val="en-GB"/>
        </w:rPr>
        <w:t xml:space="preserve">website </w:t>
      </w:r>
      <w:r w:rsidR="00A34CE7">
        <w:rPr>
          <w:lang w:val="en-GB"/>
        </w:rPr>
        <w:t>(</w:t>
      </w:r>
      <w:hyperlink r:id="rId10" w:history="1">
        <w:r w:rsidR="00A34CE7" w:rsidRPr="004B1993">
          <w:rPr>
            <w:rStyle w:val="Hyperlnk"/>
            <w:lang w:val="en-GB"/>
          </w:rPr>
          <w:t>www.gender.uu.se</w:t>
        </w:r>
      </w:hyperlink>
      <w:r w:rsidR="00A34CE7">
        <w:rPr>
          <w:lang w:val="en-GB"/>
        </w:rPr>
        <w:t xml:space="preserve">) </w:t>
      </w:r>
      <w:r w:rsidRPr="00020E0A">
        <w:rPr>
          <w:lang w:val="en-GB"/>
        </w:rPr>
        <w:t xml:space="preserve">contain information about how admissions are carried out, what documents must be appended to applications for admission, </w:t>
      </w:r>
      <w:r w:rsidR="00C64BE8">
        <w:rPr>
          <w:lang w:val="en-GB"/>
        </w:rPr>
        <w:t xml:space="preserve">how the programme is organised, and what forms of </w:t>
      </w:r>
      <w:r w:rsidRPr="00020E0A">
        <w:rPr>
          <w:lang w:val="en-GB"/>
        </w:rPr>
        <w:t xml:space="preserve">funding </w:t>
      </w:r>
      <w:r w:rsidR="00C64BE8">
        <w:rPr>
          <w:lang w:val="en-GB"/>
        </w:rPr>
        <w:t>are available to the applicant</w:t>
      </w:r>
      <w:r w:rsidRPr="00020E0A">
        <w:rPr>
          <w:lang w:val="en-GB"/>
        </w:rPr>
        <w:t>.</w:t>
      </w:r>
    </w:p>
    <w:p w14:paraId="2983EDB4" w14:textId="2FDB4E3B" w:rsidR="00CA1A4B" w:rsidRPr="00020E0A" w:rsidRDefault="00CA1A4B" w:rsidP="00CA1A4B">
      <w:pPr>
        <w:pStyle w:val="Rubrik3"/>
        <w:rPr>
          <w:lang w:val="en-GB"/>
        </w:rPr>
      </w:pPr>
      <w:bookmarkStart w:id="7" w:name="_Toc81558112"/>
      <w:r w:rsidRPr="00020E0A">
        <w:rPr>
          <w:lang w:val="en-GB"/>
        </w:rPr>
        <w:t>3.2 Admission</w:t>
      </w:r>
      <w:bookmarkEnd w:id="7"/>
    </w:p>
    <w:p w14:paraId="7D4DEB24" w14:textId="3424FF6C" w:rsidR="00CA1A4B" w:rsidRPr="00020E0A" w:rsidRDefault="004E09B3" w:rsidP="00CA1A4B">
      <w:pPr>
        <w:rPr>
          <w:lang w:val="en-GB"/>
        </w:rPr>
      </w:pPr>
      <w:r w:rsidRPr="00020E0A">
        <w:rPr>
          <w:lang w:val="en-GB"/>
        </w:rPr>
        <w:t>Admission</w:t>
      </w:r>
      <w:r w:rsidR="00C53525" w:rsidRPr="00020E0A">
        <w:rPr>
          <w:lang w:val="en-GB"/>
        </w:rPr>
        <w:t xml:space="preserve"> to </w:t>
      </w:r>
      <w:r w:rsidR="006B6680" w:rsidRPr="00020E0A">
        <w:rPr>
          <w:lang w:val="en-GB"/>
        </w:rPr>
        <w:t xml:space="preserve">third-cycle education </w:t>
      </w:r>
      <w:r w:rsidR="00C53525" w:rsidRPr="00020E0A">
        <w:rPr>
          <w:lang w:val="en-GB"/>
        </w:rPr>
        <w:t xml:space="preserve">and the allocation of financial support must be performed openly and in competition. Applications for admission </w:t>
      </w:r>
      <w:r w:rsidR="006B6680" w:rsidRPr="00020E0A">
        <w:rPr>
          <w:lang w:val="en-GB"/>
        </w:rPr>
        <w:t>must</w:t>
      </w:r>
      <w:r w:rsidR="00C53525" w:rsidRPr="00020E0A">
        <w:rPr>
          <w:lang w:val="en-GB"/>
        </w:rPr>
        <w:t xml:space="preserve"> be </w:t>
      </w:r>
      <w:r w:rsidR="00C64BE8">
        <w:rPr>
          <w:lang w:val="en-GB"/>
        </w:rPr>
        <w:t>submitted</w:t>
      </w:r>
      <w:r w:rsidR="00C53525" w:rsidRPr="00020E0A">
        <w:rPr>
          <w:lang w:val="en-GB"/>
        </w:rPr>
        <w:t xml:space="preserve"> electronically through the university website.  </w:t>
      </w:r>
    </w:p>
    <w:p w14:paraId="3142C1BC" w14:textId="601B7729" w:rsidR="00CA1A4B" w:rsidRPr="00020E0A" w:rsidRDefault="00C64BE8" w:rsidP="00C64BE8">
      <w:pPr>
        <w:rPr>
          <w:lang w:val="en-GB"/>
        </w:rPr>
      </w:pPr>
      <w:r>
        <w:rPr>
          <w:lang w:val="en-GB"/>
        </w:rPr>
        <w:t xml:space="preserve">Only fully-funded applicants may be admitted to the graduate programmes. Funding normally takes the form of employment as doctoral student. </w:t>
      </w:r>
      <w:r w:rsidR="0022094A" w:rsidRPr="00020E0A">
        <w:rPr>
          <w:lang w:val="en-GB"/>
        </w:rPr>
        <w:t xml:space="preserve">However, the faculty board may admit applicants who have some other form of financing for their studies if the board deems that this funding can be </w:t>
      </w:r>
      <w:r>
        <w:rPr>
          <w:lang w:val="en-GB"/>
        </w:rPr>
        <w:t>guaranteed during the entire time of study,</w:t>
      </w:r>
      <w:r w:rsidR="0022094A" w:rsidRPr="00020E0A">
        <w:rPr>
          <w:lang w:val="en-GB"/>
        </w:rPr>
        <w:t xml:space="preserve"> an</w:t>
      </w:r>
      <w:r w:rsidR="007E7AE2" w:rsidRPr="00020E0A">
        <w:rPr>
          <w:lang w:val="en-GB"/>
        </w:rPr>
        <w:t>d</w:t>
      </w:r>
      <w:r w:rsidR="0022094A" w:rsidRPr="00020E0A">
        <w:rPr>
          <w:lang w:val="en-GB"/>
        </w:rPr>
        <w:t xml:space="preserve"> that the applicants can devote </w:t>
      </w:r>
      <w:r w:rsidR="00C65146">
        <w:rPr>
          <w:lang w:val="en-GB"/>
        </w:rPr>
        <w:t xml:space="preserve">enough </w:t>
      </w:r>
      <w:r w:rsidR="0022094A" w:rsidRPr="00020E0A">
        <w:rPr>
          <w:lang w:val="en-GB"/>
        </w:rPr>
        <w:t>time to their studies to allow them to complete a licentiate within four years and a doctorate within eight years (cf. Ch</w:t>
      </w:r>
      <w:r w:rsidR="007E7AE2" w:rsidRPr="00020E0A">
        <w:rPr>
          <w:lang w:val="en-GB"/>
        </w:rPr>
        <w:t>.</w:t>
      </w:r>
      <w:r w:rsidR="0022094A" w:rsidRPr="00020E0A">
        <w:rPr>
          <w:lang w:val="en-GB"/>
        </w:rPr>
        <w:t xml:space="preserve"> 7 Sec</w:t>
      </w:r>
      <w:r w:rsidR="007E7AE2" w:rsidRPr="00020E0A">
        <w:rPr>
          <w:lang w:val="en-GB"/>
        </w:rPr>
        <w:t>.</w:t>
      </w:r>
      <w:r w:rsidR="0022094A" w:rsidRPr="00020E0A">
        <w:rPr>
          <w:lang w:val="en-GB"/>
        </w:rPr>
        <w:t xml:space="preserve"> 36 </w:t>
      </w:r>
      <w:r w:rsidR="00DF1BF2" w:rsidRPr="00020E0A">
        <w:rPr>
          <w:lang w:val="en-GB"/>
        </w:rPr>
        <w:t>H</w:t>
      </w:r>
      <w:r w:rsidR="00B83186" w:rsidRPr="00020E0A">
        <w:rPr>
          <w:lang w:val="en-GB"/>
        </w:rPr>
        <w:t>EO</w:t>
      </w:r>
      <w:r w:rsidR="007E7AE2" w:rsidRPr="00020E0A">
        <w:rPr>
          <w:lang w:val="en-GB"/>
        </w:rPr>
        <w:t>, SFS 2006: 1053</w:t>
      </w:r>
      <w:r w:rsidR="0022094A" w:rsidRPr="00020E0A">
        <w:rPr>
          <w:lang w:val="en-GB"/>
        </w:rPr>
        <w:t xml:space="preserve">). </w:t>
      </w:r>
    </w:p>
    <w:p w14:paraId="690F1FD6" w14:textId="44F491AD" w:rsidR="00CA1A4B" w:rsidRPr="00020E0A" w:rsidRDefault="00C65146" w:rsidP="00CA1A4B">
      <w:pPr>
        <w:rPr>
          <w:lang w:val="en-GB"/>
        </w:rPr>
      </w:pPr>
      <w:r w:rsidRPr="0076090F">
        <w:rPr>
          <w:lang w:val="en-GB"/>
        </w:rPr>
        <w:lastRenderedPageBreak/>
        <w:t>The</w:t>
      </w:r>
      <w:r w:rsidR="007E7AE2" w:rsidRPr="0076090F">
        <w:rPr>
          <w:lang w:val="en-GB"/>
        </w:rPr>
        <w:t xml:space="preserve"> </w:t>
      </w:r>
      <w:r w:rsidR="006B6680" w:rsidRPr="0076090F">
        <w:rPr>
          <w:lang w:val="en-GB"/>
        </w:rPr>
        <w:t>B</w:t>
      </w:r>
      <w:r w:rsidR="007E7AE2" w:rsidRPr="0076090F">
        <w:rPr>
          <w:lang w:val="en-GB"/>
        </w:rPr>
        <w:t>oard of the Faculty of Arts</w:t>
      </w:r>
      <w:r w:rsidRPr="0076090F">
        <w:rPr>
          <w:lang w:val="en-GB"/>
        </w:rPr>
        <w:t xml:space="preserve"> has delegated to the </w:t>
      </w:r>
      <w:r w:rsidR="00284A14" w:rsidRPr="0076090F">
        <w:rPr>
          <w:lang w:val="en-GB"/>
        </w:rPr>
        <w:t>Director</w:t>
      </w:r>
      <w:r w:rsidRPr="0076090F">
        <w:rPr>
          <w:lang w:val="en-GB"/>
        </w:rPr>
        <w:t xml:space="preserve"> of</w:t>
      </w:r>
      <w:r w:rsidR="007E7AE2" w:rsidRPr="0076090F">
        <w:rPr>
          <w:lang w:val="en-GB"/>
        </w:rPr>
        <w:t xml:space="preserve"> </w:t>
      </w:r>
      <w:r w:rsidR="00284A14" w:rsidRPr="0076090F">
        <w:rPr>
          <w:lang w:val="en-GB"/>
        </w:rPr>
        <w:t>the Centre for Gender Research</w:t>
      </w:r>
      <w:r w:rsidRPr="0076090F">
        <w:rPr>
          <w:lang w:val="en-GB"/>
        </w:rPr>
        <w:t xml:space="preserve"> to</w:t>
      </w:r>
      <w:r w:rsidR="00284A14" w:rsidRPr="0076090F">
        <w:rPr>
          <w:lang w:val="en-GB"/>
        </w:rPr>
        <w:t xml:space="preserve"> </w:t>
      </w:r>
      <w:r w:rsidRPr="0076090F">
        <w:rPr>
          <w:lang w:val="en-GB"/>
        </w:rPr>
        <w:t>admit applicants to</w:t>
      </w:r>
      <w:r w:rsidR="007E7AE2" w:rsidRPr="0076090F">
        <w:rPr>
          <w:lang w:val="en-GB"/>
        </w:rPr>
        <w:t xml:space="preserve"> faculty-funded </w:t>
      </w:r>
      <w:r w:rsidR="006B6680" w:rsidRPr="0076090F">
        <w:rPr>
          <w:lang w:val="en-GB"/>
        </w:rPr>
        <w:t xml:space="preserve">third-cycle education </w:t>
      </w:r>
      <w:r w:rsidR="007E7AE2" w:rsidRPr="0076090F">
        <w:rPr>
          <w:lang w:val="en-GB"/>
        </w:rPr>
        <w:t>leading to a doctorate</w:t>
      </w:r>
      <w:r w:rsidRPr="0076090F">
        <w:rPr>
          <w:lang w:val="en-GB"/>
        </w:rPr>
        <w:t xml:space="preserve">, in consultation with </w:t>
      </w:r>
      <w:proofErr w:type="gramStart"/>
      <w:r w:rsidRPr="0076090F">
        <w:rPr>
          <w:lang w:val="en-GB"/>
        </w:rPr>
        <w:t xml:space="preserve">the </w:t>
      </w:r>
      <w:r w:rsidR="00A34CE7" w:rsidRPr="0076090F">
        <w:rPr>
          <w:lang w:val="en-GB"/>
        </w:rPr>
        <w:t>an</w:t>
      </w:r>
      <w:proofErr w:type="gramEnd"/>
      <w:r w:rsidR="00A34CE7" w:rsidRPr="0076090F">
        <w:rPr>
          <w:lang w:val="en-GB"/>
        </w:rPr>
        <w:t xml:space="preserve"> assessment panel </w:t>
      </w:r>
      <w:r w:rsidR="00284A14" w:rsidRPr="0076090F">
        <w:rPr>
          <w:lang w:val="en-GB"/>
        </w:rPr>
        <w:t>appointed by the Director and led by the Director of PhD Studies</w:t>
      </w:r>
      <w:r w:rsidR="007E7AE2" w:rsidRPr="0076090F">
        <w:rPr>
          <w:lang w:val="en-GB"/>
        </w:rPr>
        <w:t>.</w:t>
      </w:r>
      <w:r w:rsidRPr="0076090F">
        <w:rPr>
          <w:lang w:val="en-GB"/>
        </w:rPr>
        <w:t xml:space="preserve"> Applicants whose funding comes from other means (e.g. externally funded projects, scholarships, etc.) are admitted by the Faculty Board (cf. HISTFILFAK 2020/39).</w:t>
      </w:r>
    </w:p>
    <w:p w14:paraId="3B0A3BE2" w14:textId="2CDB87FE" w:rsidR="00C53525" w:rsidRPr="00020E0A" w:rsidRDefault="007E7AE2" w:rsidP="007E7AE2">
      <w:pPr>
        <w:pStyle w:val="Rubrik3"/>
        <w:rPr>
          <w:lang w:val="en-GB"/>
        </w:rPr>
      </w:pPr>
      <w:bookmarkStart w:id="8" w:name="_Toc81558113"/>
      <w:r w:rsidRPr="00020E0A">
        <w:rPr>
          <w:lang w:val="en-GB"/>
        </w:rPr>
        <w:t>3</w:t>
      </w:r>
      <w:r w:rsidR="004115B3" w:rsidRPr="00020E0A">
        <w:rPr>
          <w:lang w:val="en-GB"/>
        </w:rPr>
        <w:t>.3 The s</w:t>
      </w:r>
      <w:r w:rsidRPr="00020E0A">
        <w:rPr>
          <w:lang w:val="en-GB"/>
        </w:rPr>
        <w:t xml:space="preserve">election </w:t>
      </w:r>
      <w:r w:rsidR="004115B3" w:rsidRPr="00020E0A">
        <w:rPr>
          <w:lang w:val="en-GB"/>
        </w:rPr>
        <w:t>p</w:t>
      </w:r>
      <w:r w:rsidRPr="00020E0A">
        <w:rPr>
          <w:lang w:val="en-GB"/>
        </w:rPr>
        <w:t>roce</w:t>
      </w:r>
      <w:r w:rsidR="004115B3" w:rsidRPr="00020E0A">
        <w:rPr>
          <w:lang w:val="en-GB"/>
        </w:rPr>
        <w:t>dure</w:t>
      </w:r>
      <w:bookmarkEnd w:id="8"/>
    </w:p>
    <w:p w14:paraId="64B3A214" w14:textId="23EB8838" w:rsidR="007E7AE2" w:rsidRDefault="007E7AE2" w:rsidP="007E7AE2">
      <w:pPr>
        <w:rPr>
          <w:lang w:val="en-GB"/>
        </w:rPr>
      </w:pPr>
      <w:r w:rsidRPr="00020E0A">
        <w:rPr>
          <w:lang w:val="en-GB"/>
        </w:rPr>
        <w:t xml:space="preserve">Selection among applicants who </w:t>
      </w:r>
      <w:r w:rsidR="00C65146" w:rsidRPr="00020E0A">
        <w:rPr>
          <w:lang w:val="en-GB"/>
        </w:rPr>
        <w:t>fulfil</w:t>
      </w:r>
      <w:r w:rsidRPr="00020E0A">
        <w:rPr>
          <w:lang w:val="en-GB"/>
        </w:rPr>
        <w:t xml:space="preserve"> the requirements is done </w:t>
      </w:r>
      <w:r w:rsidR="006B6680" w:rsidRPr="00020E0A">
        <w:rPr>
          <w:lang w:val="en-GB"/>
        </w:rPr>
        <w:t>based on</w:t>
      </w:r>
      <w:r w:rsidRPr="00020E0A">
        <w:rPr>
          <w:lang w:val="en-GB"/>
        </w:rPr>
        <w:t xml:space="preserve"> their </w:t>
      </w:r>
      <w:r w:rsidR="00C65146">
        <w:rPr>
          <w:lang w:val="en-GB"/>
        </w:rPr>
        <w:t>ability</w:t>
      </w:r>
      <w:r w:rsidRPr="00020E0A">
        <w:rPr>
          <w:lang w:val="en-GB"/>
        </w:rPr>
        <w:t xml:space="preserve"> to benefit from the </w:t>
      </w:r>
      <w:r w:rsidR="00C65146">
        <w:rPr>
          <w:lang w:val="en-GB"/>
        </w:rPr>
        <w:t>programme</w:t>
      </w:r>
      <w:r w:rsidRPr="00020E0A">
        <w:rPr>
          <w:lang w:val="en-GB"/>
        </w:rPr>
        <w:t>.</w:t>
      </w:r>
    </w:p>
    <w:p w14:paraId="1DD58A76" w14:textId="43CC7448" w:rsidR="00EA6F63" w:rsidRPr="00020E0A" w:rsidRDefault="00EA6F63" w:rsidP="007E7AE2">
      <w:pPr>
        <w:rPr>
          <w:lang w:val="en-GB"/>
        </w:rPr>
      </w:pPr>
      <w:r w:rsidRPr="00C85EBB">
        <w:rPr>
          <w:lang w:val="en-GB"/>
        </w:rPr>
        <w:t xml:space="preserve">In the selection process value </w:t>
      </w:r>
      <w:r w:rsidR="00C85EBB" w:rsidRPr="00C85EBB">
        <w:rPr>
          <w:lang w:val="en-GB"/>
        </w:rPr>
        <w:t xml:space="preserve">is also </w:t>
      </w:r>
      <w:r w:rsidRPr="00C85EBB">
        <w:rPr>
          <w:lang w:val="en-GB"/>
        </w:rPr>
        <w:t>placed upon the applicant</w:t>
      </w:r>
      <w:r w:rsidR="0076090F" w:rsidRPr="00C85EBB">
        <w:rPr>
          <w:lang w:val="en-GB"/>
        </w:rPr>
        <w:t>’</w:t>
      </w:r>
      <w:r w:rsidRPr="00C85EBB">
        <w:rPr>
          <w:lang w:val="en-GB"/>
        </w:rPr>
        <w:t>s ability to read and understand scientific texts</w:t>
      </w:r>
      <w:r w:rsidR="0076090F" w:rsidRPr="00C85EBB">
        <w:rPr>
          <w:lang w:val="en-GB"/>
        </w:rPr>
        <w:t xml:space="preserve"> written</w:t>
      </w:r>
      <w:r w:rsidRPr="00C85EBB">
        <w:rPr>
          <w:lang w:val="en-GB"/>
        </w:rPr>
        <w:t xml:space="preserve"> in English. The selection </w:t>
      </w:r>
      <w:r w:rsidR="00C85EBB" w:rsidRPr="00C85EBB">
        <w:rPr>
          <w:lang w:val="en-GB"/>
        </w:rPr>
        <w:t>is</w:t>
      </w:r>
      <w:r w:rsidRPr="00C85EBB">
        <w:rPr>
          <w:lang w:val="en-GB"/>
        </w:rPr>
        <w:t xml:space="preserve"> based on an assessment of the applicant’s past accomplishments and a </w:t>
      </w:r>
      <w:r w:rsidR="00C85EBB" w:rsidRPr="00C85EBB">
        <w:rPr>
          <w:lang w:val="en-GB"/>
        </w:rPr>
        <w:t>thesis proposal</w:t>
      </w:r>
      <w:r w:rsidRPr="00C85EBB">
        <w:rPr>
          <w:lang w:val="en-GB"/>
        </w:rPr>
        <w:t xml:space="preserve"> </w:t>
      </w:r>
      <w:r w:rsidR="0076090F" w:rsidRPr="00C85EBB">
        <w:rPr>
          <w:lang w:val="en-GB"/>
        </w:rPr>
        <w:t xml:space="preserve">which should be </w:t>
      </w:r>
      <w:r w:rsidR="00C85EBB" w:rsidRPr="00C85EBB">
        <w:rPr>
          <w:lang w:val="en-GB"/>
        </w:rPr>
        <w:t xml:space="preserve">included in </w:t>
      </w:r>
      <w:r w:rsidRPr="00C85EBB">
        <w:rPr>
          <w:lang w:val="en-GB"/>
        </w:rPr>
        <w:t xml:space="preserve">the application. Complementary information of an applicant’s eligibility </w:t>
      </w:r>
      <w:r w:rsidR="00C85EBB" w:rsidRPr="00C85EBB">
        <w:rPr>
          <w:lang w:val="en-GB"/>
        </w:rPr>
        <w:t xml:space="preserve">is also </w:t>
      </w:r>
      <w:r w:rsidRPr="00C85EBB">
        <w:rPr>
          <w:lang w:val="en-GB"/>
        </w:rPr>
        <w:t xml:space="preserve">collected through personal interviews. The level of maturity, critical thinking and the ability to conduct independent research </w:t>
      </w:r>
      <w:r w:rsidR="00C85EBB" w:rsidRPr="00C85EBB">
        <w:rPr>
          <w:lang w:val="en-GB"/>
        </w:rPr>
        <w:t xml:space="preserve">are factors </w:t>
      </w:r>
      <w:r w:rsidRPr="00C85EBB">
        <w:rPr>
          <w:lang w:val="en-GB"/>
        </w:rPr>
        <w:t xml:space="preserve">considered in the selection process. </w:t>
      </w:r>
      <w:r w:rsidR="0025591B" w:rsidRPr="00C85EBB">
        <w:rPr>
          <w:lang w:val="en-GB"/>
        </w:rPr>
        <w:t xml:space="preserve">Special consideration </w:t>
      </w:r>
      <w:r w:rsidR="00C85EBB" w:rsidRPr="00C85EBB">
        <w:rPr>
          <w:lang w:val="en-GB"/>
        </w:rPr>
        <w:t xml:space="preserve">is </w:t>
      </w:r>
      <w:r w:rsidR="0025591B" w:rsidRPr="00C85EBB">
        <w:rPr>
          <w:lang w:val="en-GB"/>
        </w:rPr>
        <w:t xml:space="preserve">given to the applicant’s ability to express themselves in a linguistically correct manner. These </w:t>
      </w:r>
      <w:r w:rsidR="0076090F" w:rsidRPr="00C85EBB">
        <w:rPr>
          <w:lang w:val="en-GB"/>
        </w:rPr>
        <w:t>skills</w:t>
      </w:r>
      <w:r w:rsidR="0025591B" w:rsidRPr="00C85EBB">
        <w:rPr>
          <w:lang w:val="en-GB"/>
        </w:rPr>
        <w:t xml:space="preserve"> are presumed to be particularly</w:t>
      </w:r>
      <w:r w:rsidR="0090254E" w:rsidRPr="00C85EBB">
        <w:rPr>
          <w:lang w:val="en-GB"/>
        </w:rPr>
        <w:t xml:space="preserve"> well documented in dissertation work</w:t>
      </w:r>
      <w:r w:rsidR="0025591B" w:rsidRPr="00C85EBB">
        <w:rPr>
          <w:lang w:val="en-GB"/>
        </w:rPr>
        <w:t xml:space="preserve"> at </w:t>
      </w:r>
      <w:r w:rsidR="0090254E" w:rsidRPr="00C85EBB">
        <w:rPr>
          <w:lang w:val="en-GB"/>
        </w:rPr>
        <w:t>undergraduate</w:t>
      </w:r>
      <w:r w:rsidR="0025591B" w:rsidRPr="00C85EBB">
        <w:rPr>
          <w:lang w:val="en-GB"/>
        </w:rPr>
        <w:t xml:space="preserve">- and advanced (magister-; master-) levels. </w:t>
      </w:r>
      <w:r w:rsidR="0076090F" w:rsidRPr="00C85EBB">
        <w:rPr>
          <w:lang w:val="en-GB"/>
        </w:rPr>
        <w:t xml:space="preserve">If the applicant is lacking in any of the aforementioned skills, this may transpire through </w:t>
      </w:r>
      <w:r w:rsidR="0090254E" w:rsidRPr="00C85EBB">
        <w:rPr>
          <w:lang w:val="en-GB"/>
        </w:rPr>
        <w:t xml:space="preserve">the applicant </w:t>
      </w:r>
      <w:r w:rsidR="0076090F" w:rsidRPr="00C85EBB">
        <w:rPr>
          <w:lang w:val="en-GB"/>
        </w:rPr>
        <w:t>having taken</w:t>
      </w:r>
      <w:r w:rsidR="0090254E" w:rsidRPr="00C85EBB">
        <w:rPr>
          <w:lang w:val="en-GB"/>
        </w:rPr>
        <w:t xml:space="preserve"> unreasonably</w:t>
      </w:r>
      <w:r w:rsidR="0025591B" w:rsidRPr="00C85EBB">
        <w:rPr>
          <w:lang w:val="en-GB"/>
        </w:rPr>
        <w:t xml:space="preserve"> long time to complete their fou</w:t>
      </w:r>
      <w:r w:rsidR="0076090F" w:rsidRPr="00C85EBB">
        <w:rPr>
          <w:lang w:val="en-GB"/>
        </w:rPr>
        <w:t>ndational studies. However, the</w:t>
      </w:r>
      <w:r w:rsidR="0025591B" w:rsidRPr="00C85EBB">
        <w:rPr>
          <w:lang w:val="en-GB"/>
        </w:rPr>
        <w:t xml:space="preserve"> assessment needs to take into consideration the circumstances of each individual case, such as parental leave, illness, etc.</w:t>
      </w:r>
      <w:r w:rsidR="0025591B" w:rsidRPr="0076090F">
        <w:rPr>
          <w:lang w:val="en-GB"/>
        </w:rPr>
        <w:t xml:space="preserve"> </w:t>
      </w:r>
    </w:p>
    <w:p w14:paraId="1E06896C" w14:textId="49599596" w:rsidR="00DF1BF2" w:rsidRPr="00020E0A" w:rsidRDefault="00DF1BF2" w:rsidP="007E7AE2">
      <w:pPr>
        <w:rPr>
          <w:lang w:val="en-GB"/>
        </w:rPr>
      </w:pPr>
      <w:r w:rsidRPr="00020E0A">
        <w:rPr>
          <w:lang w:val="en-GB"/>
        </w:rPr>
        <w:t>The availability of supervision in certain areas of study may be taken into consideration.</w:t>
      </w:r>
    </w:p>
    <w:p w14:paraId="0CCC696C" w14:textId="50010220" w:rsidR="00DF1BF2" w:rsidRPr="00550A69" w:rsidRDefault="00DF1BF2" w:rsidP="00550A69">
      <w:pPr>
        <w:rPr>
          <w:szCs w:val="21"/>
          <w:lang w:val="en-GB"/>
        </w:rPr>
      </w:pPr>
      <w:r w:rsidRPr="00550A69">
        <w:rPr>
          <w:szCs w:val="21"/>
          <w:lang w:val="en-GB"/>
        </w:rPr>
        <w:t>T</w:t>
      </w:r>
      <w:r w:rsidR="00550A69" w:rsidRPr="00550A69">
        <w:rPr>
          <w:szCs w:val="21"/>
          <w:shd w:val="clear" w:color="auto" w:fill="FFFFFF"/>
          <w:lang w:val="en-GB"/>
        </w:rPr>
        <w:t>he fact that an applicant is considered able to transfer credits from prior courses and study programmes or for professional or vocational experience may not alone give the applicant priority over other applicants.</w:t>
      </w:r>
      <w:r w:rsidR="00550A69" w:rsidRPr="00550A69">
        <w:rPr>
          <w:szCs w:val="21"/>
          <w:lang w:val="en-GB"/>
        </w:rPr>
        <w:t xml:space="preserve"> </w:t>
      </w:r>
      <w:r w:rsidRPr="00550A69">
        <w:rPr>
          <w:szCs w:val="21"/>
          <w:lang w:val="en-GB"/>
        </w:rPr>
        <w:t>(cf. Ch. 7 Sec. 41 H</w:t>
      </w:r>
      <w:r w:rsidR="00B83186" w:rsidRPr="00550A69">
        <w:rPr>
          <w:szCs w:val="21"/>
          <w:lang w:val="en-GB"/>
        </w:rPr>
        <w:t>EO</w:t>
      </w:r>
      <w:r w:rsidRPr="00550A69">
        <w:rPr>
          <w:szCs w:val="21"/>
          <w:lang w:val="en-GB"/>
        </w:rPr>
        <w:t>).</w:t>
      </w:r>
    </w:p>
    <w:p w14:paraId="2AD2DA6E" w14:textId="7DC2D4D1" w:rsidR="00DF1BF2" w:rsidRPr="00020E0A" w:rsidRDefault="00DF1BF2" w:rsidP="007E7AE2">
      <w:pPr>
        <w:rPr>
          <w:lang w:val="en-GB"/>
        </w:rPr>
      </w:pPr>
      <w:r w:rsidRPr="00020E0A">
        <w:rPr>
          <w:lang w:val="en-GB"/>
        </w:rPr>
        <w:t xml:space="preserve">Uppsala University </w:t>
      </w:r>
      <w:r w:rsidR="0078345F">
        <w:rPr>
          <w:lang w:val="en-GB"/>
        </w:rPr>
        <w:t xml:space="preserve">places great value on </w:t>
      </w:r>
      <w:r w:rsidRPr="00020E0A">
        <w:rPr>
          <w:lang w:val="en-GB"/>
        </w:rPr>
        <w:t>the qualities that a diverse and gender-balanced staff brings. We encourage diversity in terms of e.g. gender, ethnicity, abilities and life experience.</w:t>
      </w:r>
    </w:p>
    <w:p w14:paraId="2892AD13" w14:textId="1C533D13" w:rsidR="00DF1BF2" w:rsidRPr="00020E0A" w:rsidRDefault="00DF1BF2" w:rsidP="00DF1BF2">
      <w:pPr>
        <w:pStyle w:val="Rubrik2"/>
        <w:rPr>
          <w:lang w:val="en-GB"/>
        </w:rPr>
      </w:pPr>
      <w:bookmarkStart w:id="9" w:name="_Toc81558114"/>
      <w:r w:rsidRPr="00020E0A">
        <w:rPr>
          <w:lang w:val="en-GB"/>
        </w:rPr>
        <w:t xml:space="preserve">4. The </w:t>
      </w:r>
      <w:r w:rsidR="004115B3" w:rsidRPr="00020E0A">
        <w:rPr>
          <w:lang w:val="en-GB"/>
        </w:rPr>
        <w:t>C</w:t>
      </w:r>
      <w:r w:rsidRPr="00020E0A">
        <w:rPr>
          <w:lang w:val="en-GB"/>
        </w:rPr>
        <w:t xml:space="preserve">ontents and </w:t>
      </w:r>
      <w:r w:rsidR="004115B3" w:rsidRPr="00020E0A">
        <w:rPr>
          <w:lang w:val="en-GB"/>
        </w:rPr>
        <w:t>O</w:t>
      </w:r>
      <w:r w:rsidRPr="00020E0A">
        <w:rPr>
          <w:lang w:val="en-GB"/>
        </w:rPr>
        <w:t xml:space="preserve">rganisation of the </w:t>
      </w:r>
      <w:r w:rsidR="004115B3" w:rsidRPr="00020E0A">
        <w:rPr>
          <w:lang w:val="en-GB"/>
        </w:rPr>
        <w:t>P</w:t>
      </w:r>
      <w:r w:rsidRPr="00020E0A">
        <w:rPr>
          <w:lang w:val="en-GB"/>
        </w:rPr>
        <w:t>rogram</w:t>
      </w:r>
      <w:r w:rsidR="004115B3" w:rsidRPr="00020E0A">
        <w:rPr>
          <w:lang w:val="en-GB"/>
        </w:rPr>
        <w:t>me</w:t>
      </w:r>
      <w:bookmarkEnd w:id="9"/>
    </w:p>
    <w:p w14:paraId="028EA7B5" w14:textId="405ABB86" w:rsidR="00C74C0B" w:rsidRPr="00020E0A" w:rsidRDefault="00C74C0B" w:rsidP="00C74C0B">
      <w:pPr>
        <w:pStyle w:val="Rubrik3"/>
        <w:rPr>
          <w:lang w:val="en-GB"/>
        </w:rPr>
      </w:pPr>
      <w:bookmarkStart w:id="10" w:name="_Toc81558115"/>
      <w:r w:rsidRPr="00020E0A">
        <w:rPr>
          <w:lang w:val="en-GB"/>
        </w:rPr>
        <w:t>4.1 The organisation of the program</w:t>
      </w:r>
      <w:r w:rsidR="004115B3" w:rsidRPr="00020E0A">
        <w:rPr>
          <w:lang w:val="en-GB"/>
        </w:rPr>
        <w:t>me</w:t>
      </w:r>
      <w:bookmarkEnd w:id="10"/>
    </w:p>
    <w:p w14:paraId="4450DFA1" w14:textId="417BB431" w:rsidR="00B42050" w:rsidRPr="00020E0A" w:rsidRDefault="006B6680" w:rsidP="00C74C0B">
      <w:pPr>
        <w:rPr>
          <w:lang w:val="en-GB"/>
        </w:rPr>
      </w:pPr>
      <w:r w:rsidRPr="00020E0A">
        <w:rPr>
          <w:lang w:val="en-GB"/>
        </w:rPr>
        <w:t xml:space="preserve">Third-cycle education </w:t>
      </w:r>
      <w:r w:rsidR="00C74C0B" w:rsidRPr="00020E0A">
        <w:rPr>
          <w:lang w:val="en-GB"/>
        </w:rPr>
        <w:t>leads to either a doctorate or a licentiate degree. The program</w:t>
      </w:r>
      <w:r w:rsidR="004115B3" w:rsidRPr="00020E0A">
        <w:rPr>
          <w:lang w:val="en-GB"/>
        </w:rPr>
        <w:t>me</w:t>
      </w:r>
      <w:r w:rsidR="00C74C0B" w:rsidRPr="00020E0A">
        <w:rPr>
          <w:lang w:val="en-GB"/>
        </w:rPr>
        <w:t xml:space="preserve"> comprises 240 academic credits for a doctorate, and 120 academic credits for a licentiate degree. </w:t>
      </w:r>
      <w:r w:rsidRPr="00020E0A">
        <w:rPr>
          <w:lang w:val="en-GB"/>
        </w:rPr>
        <w:t>Third-cycle</w:t>
      </w:r>
      <w:r w:rsidR="00C74C0B" w:rsidRPr="00020E0A">
        <w:rPr>
          <w:lang w:val="en-GB"/>
        </w:rPr>
        <w:t xml:space="preserve"> students admitted to a program leading to a doctorate may, if they so wish, </w:t>
      </w:r>
      <w:r w:rsidR="00B42050" w:rsidRPr="00020E0A">
        <w:rPr>
          <w:lang w:val="en-GB"/>
        </w:rPr>
        <w:t xml:space="preserve">submit their work for a licentiate degree as a first step on their way towards a doctorate. </w:t>
      </w:r>
    </w:p>
    <w:p w14:paraId="54AF2F1A" w14:textId="2036F2A6" w:rsidR="00C74C0B" w:rsidRPr="00020E0A" w:rsidRDefault="006B6680" w:rsidP="00C74C0B">
      <w:pPr>
        <w:rPr>
          <w:lang w:val="en-GB"/>
        </w:rPr>
      </w:pPr>
      <w:r w:rsidRPr="00020E0A">
        <w:rPr>
          <w:lang w:val="en-GB"/>
        </w:rPr>
        <w:t>I</w:t>
      </w:r>
      <w:r w:rsidR="00B11A11">
        <w:rPr>
          <w:lang w:val="en-GB"/>
        </w:rPr>
        <w:t xml:space="preserve">n exceptional cases and at </w:t>
      </w:r>
      <w:r w:rsidR="00B42050" w:rsidRPr="00020E0A">
        <w:rPr>
          <w:lang w:val="en-GB"/>
        </w:rPr>
        <w:t xml:space="preserve">the </w:t>
      </w:r>
      <w:r w:rsidR="00B11A11">
        <w:rPr>
          <w:lang w:val="en-GB"/>
        </w:rPr>
        <w:t>F</w:t>
      </w:r>
      <w:r w:rsidR="00B42050" w:rsidRPr="00020E0A">
        <w:rPr>
          <w:lang w:val="en-GB"/>
        </w:rPr>
        <w:t xml:space="preserve">aculty </w:t>
      </w:r>
      <w:r w:rsidR="00B11A11">
        <w:rPr>
          <w:lang w:val="en-GB"/>
        </w:rPr>
        <w:t>B</w:t>
      </w:r>
      <w:r w:rsidR="00B42050" w:rsidRPr="00020E0A">
        <w:rPr>
          <w:lang w:val="en-GB"/>
        </w:rPr>
        <w:t>oard</w:t>
      </w:r>
      <w:r w:rsidR="00B11A11">
        <w:rPr>
          <w:lang w:val="en-GB"/>
        </w:rPr>
        <w:t>’s discretion</w:t>
      </w:r>
      <w:r w:rsidR="00B42050" w:rsidRPr="00020E0A">
        <w:rPr>
          <w:lang w:val="en-GB"/>
        </w:rPr>
        <w:t xml:space="preserve">, </w:t>
      </w:r>
      <w:r w:rsidRPr="00020E0A">
        <w:rPr>
          <w:lang w:val="en-GB"/>
        </w:rPr>
        <w:t xml:space="preserve">applicants may </w:t>
      </w:r>
      <w:r w:rsidR="00B11A11">
        <w:rPr>
          <w:lang w:val="en-GB"/>
        </w:rPr>
        <w:t xml:space="preserve">apply to </w:t>
      </w:r>
      <w:r w:rsidR="00B42050" w:rsidRPr="00020E0A">
        <w:rPr>
          <w:lang w:val="en-GB"/>
        </w:rPr>
        <w:t xml:space="preserve">be admitted to </w:t>
      </w:r>
      <w:r w:rsidRPr="00020E0A">
        <w:rPr>
          <w:lang w:val="en-GB"/>
        </w:rPr>
        <w:t xml:space="preserve">third-cycle education </w:t>
      </w:r>
      <w:r w:rsidR="00585EEF" w:rsidRPr="00020E0A">
        <w:rPr>
          <w:lang w:val="en-GB"/>
        </w:rPr>
        <w:t>comprising 120 academic credits and</w:t>
      </w:r>
      <w:r w:rsidR="00FF6039">
        <w:rPr>
          <w:lang w:val="en-GB"/>
        </w:rPr>
        <w:t xml:space="preserve"> concluding with a </w:t>
      </w:r>
      <w:r w:rsidR="00585EEF" w:rsidRPr="00020E0A">
        <w:rPr>
          <w:lang w:val="en-GB"/>
        </w:rPr>
        <w:t xml:space="preserve">licentiate degree. </w:t>
      </w:r>
      <w:r w:rsidR="00B11A11">
        <w:rPr>
          <w:lang w:val="en-GB"/>
        </w:rPr>
        <w:t>Admission to third-cycle education leading to a licentiate degree is granted by the Faculty Board.</w:t>
      </w:r>
    </w:p>
    <w:p w14:paraId="5D3CF3B6" w14:textId="0F50CD4B" w:rsidR="00585EEF" w:rsidRPr="00284A14" w:rsidRDefault="006B6680" w:rsidP="00C74C0B">
      <w:pPr>
        <w:rPr>
          <w:lang w:val="en-GB"/>
        </w:rPr>
      </w:pPr>
      <w:r w:rsidRPr="00020E0A">
        <w:rPr>
          <w:lang w:val="en-GB"/>
        </w:rPr>
        <w:t xml:space="preserve">Third-cycle education </w:t>
      </w:r>
      <w:r w:rsidR="00585EEF" w:rsidRPr="00020E0A">
        <w:rPr>
          <w:lang w:val="en-GB"/>
        </w:rPr>
        <w:t xml:space="preserve">in </w:t>
      </w:r>
      <w:r w:rsidR="00284A14" w:rsidRPr="00284A14">
        <w:rPr>
          <w:lang w:val="en-GB"/>
        </w:rPr>
        <w:t>gender studies</w:t>
      </w:r>
      <w:r w:rsidR="00585EEF" w:rsidRPr="00020E0A">
        <w:rPr>
          <w:b/>
          <w:lang w:val="en-GB"/>
        </w:rPr>
        <w:t xml:space="preserve"> </w:t>
      </w:r>
      <w:r w:rsidR="00585EEF" w:rsidRPr="00020E0A">
        <w:rPr>
          <w:lang w:val="en-GB"/>
        </w:rPr>
        <w:t xml:space="preserve">leading to a doctorate is equivalent to four years full-time study and comprises course work </w:t>
      </w:r>
      <w:r w:rsidR="00585EEF" w:rsidRPr="00284A14">
        <w:rPr>
          <w:lang w:val="en-GB"/>
        </w:rPr>
        <w:t xml:space="preserve">worth a total of </w:t>
      </w:r>
      <w:r w:rsidR="00284A14" w:rsidRPr="00284A14">
        <w:rPr>
          <w:lang w:val="en-GB"/>
        </w:rPr>
        <w:t>60</w:t>
      </w:r>
      <w:r w:rsidR="00585EEF" w:rsidRPr="00284A14">
        <w:rPr>
          <w:lang w:val="en-GB"/>
        </w:rPr>
        <w:t xml:space="preserve"> academic credits and a doctorate thesis corresponding to </w:t>
      </w:r>
      <w:r w:rsidR="00284A14" w:rsidRPr="00284A14">
        <w:rPr>
          <w:lang w:val="en-GB"/>
        </w:rPr>
        <w:t>180</w:t>
      </w:r>
      <w:r w:rsidR="00585EEF" w:rsidRPr="00284A14">
        <w:rPr>
          <w:lang w:val="en-GB"/>
        </w:rPr>
        <w:t xml:space="preserve"> academic credits.</w:t>
      </w:r>
    </w:p>
    <w:p w14:paraId="3943B92C" w14:textId="4F95059B" w:rsidR="00585EEF" w:rsidRPr="00020E0A" w:rsidRDefault="006B6680" w:rsidP="00C74C0B">
      <w:pPr>
        <w:rPr>
          <w:lang w:val="en-GB"/>
        </w:rPr>
      </w:pPr>
      <w:r w:rsidRPr="00020E0A">
        <w:rPr>
          <w:lang w:val="en-GB"/>
        </w:rPr>
        <w:t xml:space="preserve">Third-cycle </w:t>
      </w:r>
      <w:r w:rsidRPr="00284A14">
        <w:rPr>
          <w:lang w:val="en-GB"/>
        </w:rPr>
        <w:t xml:space="preserve">education </w:t>
      </w:r>
      <w:r w:rsidR="00585EEF" w:rsidRPr="00284A14">
        <w:rPr>
          <w:lang w:val="en-GB"/>
        </w:rPr>
        <w:t xml:space="preserve">in </w:t>
      </w:r>
      <w:r w:rsidR="00284A14" w:rsidRPr="00284A14">
        <w:rPr>
          <w:lang w:val="en-GB"/>
        </w:rPr>
        <w:t>gender studies</w:t>
      </w:r>
      <w:r w:rsidR="00585EEF" w:rsidRPr="00284A14">
        <w:rPr>
          <w:lang w:val="en-GB"/>
        </w:rPr>
        <w:t xml:space="preserve"> leading to a licentiate degree is equivalent to two years full-time study and comprises course work worth a total of </w:t>
      </w:r>
      <w:r w:rsidR="00284A14" w:rsidRPr="00284A14">
        <w:rPr>
          <w:lang w:val="en-GB"/>
        </w:rPr>
        <w:t>30</w:t>
      </w:r>
      <w:r w:rsidR="00585EEF" w:rsidRPr="00284A14">
        <w:rPr>
          <w:lang w:val="en-GB"/>
        </w:rPr>
        <w:t xml:space="preserve"> academic credits and a doctorate thesis corresponding to </w:t>
      </w:r>
      <w:r w:rsidR="00284A14" w:rsidRPr="00284A14">
        <w:rPr>
          <w:lang w:val="en-GB"/>
        </w:rPr>
        <w:t>90</w:t>
      </w:r>
      <w:r w:rsidR="00585EEF" w:rsidRPr="00284A14">
        <w:rPr>
          <w:lang w:val="en-GB"/>
        </w:rPr>
        <w:t xml:space="preserve"> academic</w:t>
      </w:r>
      <w:r w:rsidR="00585EEF" w:rsidRPr="00020E0A">
        <w:rPr>
          <w:lang w:val="en-GB"/>
        </w:rPr>
        <w:t xml:space="preserve"> credits.</w:t>
      </w:r>
    </w:p>
    <w:p w14:paraId="02648804" w14:textId="65C2C0EA" w:rsidR="00585EEF" w:rsidRPr="00020E0A" w:rsidRDefault="00585EEF" w:rsidP="00585EEF">
      <w:pPr>
        <w:pStyle w:val="Rubrik3"/>
        <w:rPr>
          <w:lang w:val="en-GB"/>
        </w:rPr>
      </w:pPr>
      <w:bookmarkStart w:id="11" w:name="_Toc81558116"/>
      <w:r w:rsidRPr="00020E0A">
        <w:rPr>
          <w:lang w:val="en-GB"/>
        </w:rPr>
        <w:lastRenderedPageBreak/>
        <w:t>4.2 Supervision</w:t>
      </w:r>
      <w:bookmarkEnd w:id="11"/>
    </w:p>
    <w:p w14:paraId="389DEAE3" w14:textId="78B899BC" w:rsidR="00B11A11" w:rsidRDefault="00B11A11" w:rsidP="00B11A11">
      <w:pPr>
        <w:rPr>
          <w:lang w:val="en-GB"/>
        </w:rPr>
      </w:pPr>
      <w:r>
        <w:rPr>
          <w:lang w:val="en-GB"/>
        </w:rPr>
        <w:t>At least two supervisors are assigned to each doctoral student,</w:t>
      </w:r>
      <w:r w:rsidRPr="00B11A11">
        <w:rPr>
          <w:lang w:val="en-GB"/>
        </w:rPr>
        <w:t xml:space="preserve"> </w:t>
      </w:r>
      <w:r>
        <w:rPr>
          <w:lang w:val="en-GB"/>
        </w:rPr>
        <w:t xml:space="preserve">one of which bears the primary responsibility for the student’s studies, including dissertation work, and one of which serves as assistant supervisor. </w:t>
      </w:r>
      <w:r w:rsidR="005553DA" w:rsidRPr="0076090F">
        <w:rPr>
          <w:lang w:val="en-GB"/>
        </w:rPr>
        <w:t xml:space="preserve">Supervisors are appointed by the </w:t>
      </w:r>
      <w:r w:rsidR="001A13EC" w:rsidRPr="0076090F">
        <w:rPr>
          <w:lang w:val="en-GB"/>
        </w:rPr>
        <w:t>Director of the Centre for Gender Research, in consultation with the Director of PhD Studies</w:t>
      </w:r>
      <w:r w:rsidR="005553DA" w:rsidRPr="0076090F">
        <w:rPr>
          <w:lang w:val="en-GB"/>
        </w:rPr>
        <w:t>.</w:t>
      </w:r>
      <w:r w:rsidR="005553DA">
        <w:rPr>
          <w:lang w:val="en-GB"/>
        </w:rPr>
        <w:t xml:space="preserve"> </w:t>
      </w:r>
      <w:r>
        <w:rPr>
          <w:lang w:val="en-GB"/>
        </w:rPr>
        <w:t xml:space="preserve">One of the supervisors must be a permanent employee at the </w:t>
      </w:r>
      <w:r w:rsidR="001A13EC">
        <w:rPr>
          <w:lang w:val="en-GB"/>
        </w:rPr>
        <w:t>Centre</w:t>
      </w:r>
      <w:r>
        <w:rPr>
          <w:lang w:val="en-GB"/>
        </w:rPr>
        <w:t>. All supervisors must have a doctorate degree or equivalent. At leas</w:t>
      </w:r>
      <w:r w:rsidR="001A13EC">
        <w:rPr>
          <w:lang w:val="en-GB"/>
        </w:rPr>
        <w:t>t one of the supervisors must</w:t>
      </w:r>
      <w:r>
        <w:rPr>
          <w:lang w:val="en-GB"/>
        </w:rPr>
        <w:t xml:space="preserve"> have achieved the rank of associate professor (‘docent’) or higher (cf. UFV 2006/1135, AFUU Sec. 1).</w:t>
      </w:r>
      <w:r w:rsidRPr="00B11A11">
        <w:rPr>
          <w:lang w:val="en-GB"/>
        </w:rPr>
        <w:t xml:space="preserve"> </w:t>
      </w:r>
      <w:r>
        <w:rPr>
          <w:lang w:val="en-GB"/>
        </w:rPr>
        <w:t>Additional</w:t>
      </w:r>
      <w:r w:rsidR="001A13EC">
        <w:rPr>
          <w:lang w:val="en-GB"/>
        </w:rPr>
        <w:t xml:space="preserve"> (assistant)</w:t>
      </w:r>
      <w:r>
        <w:rPr>
          <w:lang w:val="en-GB"/>
        </w:rPr>
        <w:t xml:space="preserve"> supervisors can be appointed if there are reasons for doing so.</w:t>
      </w:r>
      <w:r w:rsidR="00BA04EF">
        <w:rPr>
          <w:lang w:val="en-GB"/>
        </w:rPr>
        <w:t xml:space="preserve"> Main supervisors must</w:t>
      </w:r>
      <w:r w:rsidR="001A13EC">
        <w:rPr>
          <w:lang w:val="en-GB"/>
        </w:rPr>
        <w:t xml:space="preserve"> have undergone, or</w:t>
      </w:r>
      <w:r w:rsidR="00BA04EF">
        <w:rPr>
          <w:lang w:val="en-GB"/>
        </w:rPr>
        <w:t xml:space="preserve"> undergo complementary training for supervisors before the end of their first year of supervision. The same is recommended for assistant supervisors. Supervisors are responsible for ensuring that the doctoral student’s research is carried out in accordance with good research ethics and scientific probity.</w:t>
      </w:r>
    </w:p>
    <w:p w14:paraId="5071FF26" w14:textId="456EB10F" w:rsidR="00744C28" w:rsidRPr="00020E0A" w:rsidRDefault="00744C28" w:rsidP="00BA04EF">
      <w:pPr>
        <w:rPr>
          <w:lang w:val="en-GB"/>
        </w:rPr>
      </w:pPr>
      <w:r w:rsidRPr="00020E0A">
        <w:rPr>
          <w:lang w:val="en-GB"/>
        </w:rPr>
        <w:t xml:space="preserve">The doctoral candidate is entitled to supervision </w:t>
      </w:r>
      <w:r w:rsidR="001A13EC">
        <w:rPr>
          <w:lang w:val="en-GB"/>
        </w:rPr>
        <w:t>during their PhD studies</w:t>
      </w:r>
      <w:r w:rsidRPr="00020E0A">
        <w:rPr>
          <w:lang w:val="en-GB"/>
        </w:rPr>
        <w:t>, provided that the Vice-Chancellor</w:t>
      </w:r>
      <w:r w:rsidR="00B60791" w:rsidRPr="00020E0A">
        <w:rPr>
          <w:lang w:val="en-GB"/>
        </w:rPr>
        <w:t>,</w:t>
      </w:r>
      <w:r w:rsidRPr="00020E0A">
        <w:rPr>
          <w:lang w:val="en-GB"/>
        </w:rPr>
        <w:t xml:space="preserve"> in accordance with H</w:t>
      </w:r>
      <w:r w:rsidR="00B83186" w:rsidRPr="00020E0A">
        <w:rPr>
          <w:lang w:val="en-GB"/>
        </w:rPr>
        <w:t>EO</w:t>
      </w:r>
      <w:r w:rsidRPr="00020E0A">
        <w:rPr>
          <w:lang w:val="en-GB"/>
        </w:rPr>
        <w:t>, Ch. 6 Sec. 30</w:t>
      </w:r>
      <w:r w:rsidR="00B60791" w:rsidRPr="00020E0A">
        <w:rPr>
          <w:lang w:val="en-GB"/>
        </w:rPr>
        <w:t>,</w:t>
      </w:r>
      <w:r w:rsidRPr="00020E0A">
        <w:rPr>
          <w:lang w:val="en-GB"/>
        </w:rPr>
        <w:t xml:space="preserve"> does not decide differently.</w:t>
      </w:r>
      <w:r w:rsidR="00BA04EF" w:rsidRPr="00BA04EF">
        <w:rPr>
          <w:lang w:val="en-GB"/>
        </w:rPr>
        <w:t xml:space="preserve"> </w:t>
      </w:r>
      <w:r w:rsidR="00BA04EF">
        <w:rPr>
          <w:lang w:val="en-GB"/>
        </w:rPr>
        <w:t>D</w:t>
      </w:r>
      <w:r w:rsidR="00BA04EF" w:rsidRPr="00CB0784">
        <w:rPr>
          <w:lang w:val="en-GB"/>
        </w:rPr>
        <w:t xml:space="preserve">octoral students </w:t>
      </w:r>
      <w:r w:rsidR="00BA04EF">
        <w:rPr>
          <w:lang w:val="en-GB"/>
        </w:rPr>
        <w:t>have the right to ask for and be assigned a new supervisor.</w:t>
      </w:r>
      <w:r w:rsidR="00BA04EF" w:rsidRPr="00020E0A">
        <w:rPr>
          <w:lang w:val="en-GB"/>
        </w:rPr>
        <w:t xml:space="preserve"> </w:t>
      </w:r>
      <w:r w:rsidR="006649F9" w:rsidRPr="00020E0A">
        <w:rPr>
          <w:lang w:val="en-GB"/>
        </w:rPr>
        <w:t xml:space="preserve">(cf. SFS 2010: 1064, </w:t>
      </w:r>
      <w:r w:rsidR="00BA04EF">
        <w:rPr>
          <w:lang w:val="en-GB"/>
        </w:rPr>
        <w:t>HEO Ch. 6, Sec. 28</w:t>
      </w:r>
      <w:r w:rsidR="006649F9" w:rsidRPr="00020E0A">
        <w:rPr>
          <w:lang w:val="en-GB"/>
        </w:rPr>
        <w:t xml:space="preserve">). </w:t>
      </w:r>
    </w:p>
    <w:p w14:paraId="783A7630" w14:textId="2CB4E8A7" w:rsidR="006649F9" w:rsidRPr="00020E0A" w:rsidRDefault="006649F9" w:rsidP="00C53525">
      <w:pPr>
        <w:rPr>
          <w:lang w:val="en-GB"/>
        </w:rPr>
      </w:pPr>
      <w:r w:rsidRPr="00020E0A">
        <w:rPr>
          <w:lang w:val="en-GB"/>
        </w:rPr>
        <w:t xml:space="preserve">The extent and character of the supervision are regulated in the faculty guidelines and are subject to continuous </w:t>
      </w:r>
      <w:r w:rsidR="00B60791" w:rsidRPr="00020E0A">
        <w:rPr>
          <w:lang w:val="en-GB"/>
        </w:rPr>
        <w:t>revision</w:t>
      </w:r>
      <w:r w:rsidRPr="00020E0A">
        <w:rPr>
          <w:lang w:val="en-GB"/>
        </w:rPr>
        <w:t xml:space="preserve"> in the individual study plan (see further section 4.3 below).</w:t>
      </w:r>
    </w:p>
    <w:p w14:paraId="40562CFF" w14:textId="5DD3D369" w:rsidR="00744C28" w:rsidRPr="00020E0A" w:rsidRDefault="006649F9" w:rsidP="006649F9">
      <w:pPr>
        <w:pStyle w:val="Rubrik3"/>
        <w:rPr>
          <w:lang w:val="en-GB"/>
        </w:rPr>
      </w:pPr>
      <w:bookmarkStart w:id="12" w:name="_Toc81558117"/>
      <w:r w:rsidRPr="00020E0A">
        <w:rPr>
          <w:lang w:val="en-GB"/>
        </w:rPr>
        <w:t>4.3 Individual study plan</w:t>
      </w:r>
      <w:bookmarkEnd w:id="12"/>
    </w:p>
    <w:p w14:paraId="25DD0889" w14:textId="77777777" w:rsidR="00054A63" w:rsidRPr="00FE3933" w:rsidRDefault="00054A63" w:rsidP="00054A63">
      <w:pPr>
        <w:rPr>
          <w:lang w:val="en-GB"/>
        </w:rPr>
      </w:pPr>
      <w:r w:rsidRPr="00FE3933">
        <w:rPr>
          <w:lang w:val="en-GB"/>
        </w:rPr>
        <w:t xml:space="preserve">The individual study plan is regulated in HEO, Ch. 6, Sec. 29, </w:t>
      </w:r>
      <w:r>
        <w:rPr>
          <w:lang w:val="en-GB"/>
        </w:rPr>
        <w:t>and is described further in RUF</w:t>
      </w:r>
      <w:r w:rsidRPr="00FE3933">
        <w:rPr>
          <w:lang w:val="en-GB"/>
        </w:rPr>
        <w:t>, Sec. 5.</w:t>
      </w:r>
    </w:p>
    <w:p w14:paraId="6D1C50CD" w14:textId="44E5BA0D" w:rsidR="006649F9" w:rsidRPr="00020E0A" w:rsidRDefault="006649F9" w:rsidP="006649F9">
      <w:pPr>
        <w:rPr>
          <w:lang w:val="en-GB"/>
        </w:rPr>
      </w:pPr>
      <w:r w:rsidRPr="00020E0A">
        <w:rPr>
          <w:lang w:val="en-GB"/>
        </w:rPr>
        <w:t xml:space="preserve">An individual study plan </w:t>
      </w:r>
      <w:r w:rsidR="00054A63">
        <w:rPr>
          <w:lang w:val="en-GB"/>
        </w:rPr>
        <w:t xml:space="preserve">must </w:t>
      </w:r>
      <w:r w:rsidRPr="00020E0A">
        <w:rPr>
          <w:lang w:val="en-GB"/>
        </w:rPr>
        <w:t xml:space="preserve">be drawn up for each doctoral student. On delegation from </w:t>
      </w:r>
      <w:r w:rsidR="00054A63">
        <w:rPr>
          <w:lang w:val="en-GB"/>
        </w:rPr>
        <w:t xml:space="preserve">the faculty board, the </w:t>
      </w:r>
      <w:r w:rsidR="001A13EC">
        <w:rPr>
          <w:lang w:val="en-GB"/>
        </w:rPr>
        <w:t>Director of the Centre for Gender Research</w:t>
      </w:r>
      <w:r w:rsidR="00FF6039">
        <w:rPr>
          <w:lang w:val="en-GB"/>
        </w:rPr>
        <w:t xml:space="preserve"> approves </w:t>
      </w:r>
      <w:r w:rsidRPr="00020E0A">
        <w:rPr>
          <w:lang w:val="en-GB"/>
        </w:rPr>
        <w:t>th</w:t>
      </w:r>
      <w:r w:rsidR="00B60791" w:rsidRPr="00020E0A">
        <w:rPr>
          <w:lang w:val="en-GB"/>
        </w:rPr>
        <w:t>e</w:t>
      </w:r>
      <w:r w:rsidRPr="00020E0A">
        <w:rPr>
          <w:lang w:val="en-GB"/>
        </w:rPr>
        <w:t>s</w:t>
      </w:r>
      <w:r w:rsidR="00B60791" w:rsidRPr="00020E0A">
        <w:rPr>
          <w:lang w:val="en-GB"/>
        </w:rPr>
        <w:t>e</w:t>
      </w:r>
      <w:r w:rsidRPr="00020E0A">
        <w:rPr>
          <w:lang w:val="en-GB"/>
        </w:rPr>
        <w:t xml:space="preserve"> study plan</w:t>
      </w:r>
      <w:r w:rsidR="00B60791" w:rsidRPr="00020E0A">
        <w:rPr>
          <w:lang w:val="en-GB"/>
        </w:rPr>
        <w:t>s</w:t>
      </w:r>
      <w:r w:rsidRPr="00020E0A">
        <w:rPr>
          <w:lang w:val="en-GB"/>
        </w:rPr>
        <w:t xml:space="preserve"> after consultation with the doctoral student and </w:t>
      </w:r>
      <w:r w:rsidR="00054A63">
        <w:rPr>
          <w:lang w:val="en-GB"/>
        </w:rPr>
        <w:t>their</w:t>
      </w:r>
      <w:r w:rsidRPr="00020E0A">
        <w:rPr>
          <w:lang w:val="en-GB"/>
        </w:rPr>
        <w:t xml:space="preserve"> supervisors.</w:t>
      </w:r>
      <w:r w:rsidR="00054A63">
        <w:rPr>
          <w:lang w:val="en-GB"/>
        </w:rPr>
        <w:t xml:space="preserve"> A copy of the individual study plans is sent to the faculty office for review and follow-up.</w:t>
      </w:r>
    </w:p>
    <w:p w14:paraId="5CEBD193" w14:textId="28DD196E" w:rsidR="006649F9" w:rsidRPr="00020E0A" w:rsidRDefault="006649F9" w:rsidP="006649F9">
      <w:pPr>
        <w:rPr>
          <w:lang w:val="en-GB"/>
        </w:rPr>
      </w:pPr>
      <w:r w:rsidRPr="00020E0A">
        <w:rPr>
          <w:lang w:val="en-GB"/>
        </w:rPr>
        <w:t xml:space="preserve">The individual study plan </w:t>
      </w:r>
      <w:r w:rsidR="00B60791" w:rsidRPr="00020E0A">
        <w:rPr>
          <w:lang w:val="en-GB"/>
        </w:rPr>
        <w:t>must</w:t>
      </w:r>
      <w:r w:rsidRPr="00020E0A">
        <w:rPr>
          <w:lang w:val="en-GB"/>
        </w:rPr>
        <w:t xml:space="preserve"> </w:t>
      </w:r>
      <w:r w:rsidR="00054A63">
        <w:rPr>
          <w:lang w:val="en-GB"/>
        </w:rPr>
        <w:t xml:space="preserve">specify the intended degree. It must also </w:t>
      </w:r>
      <w:r w:rsidRPr="00020E0A">
        <w:rPr>
          <w:lang w:val="en-GB"/>
        </w:rPr>
        <w:t xml:space="preserve">contain a timetable for the doctoral student’s </w:t>
      </w:r>
      <w:r w:rsidR="00054A63">
        <w:rPr>
          <w:lang w:val="en-GB"/>
        </w:rPr>
        <w:t>studies; the funding plan for the entire effective period of study; planned courses, teaching, teacher training and/or other departmental work;</w:t>
      </w:r>
      <w:r w:rsidRPr="00020E0A">
        <w:rPr>
          <w:lang w:val="en-GB"/>
        </w:rPr>
        <w:t xml:space="preserve"> </w:t>
      </w:r>
      <w:r w:rsidR="00B83186" w:rsidRPr="00020E0A">
        <w:rPr>
          <w:lang w:val="en-GB"/>
        </w:rPr>
        <w:t>information about h</w:t>
      </w:r>
      <w:r w:rsidR="00054A63">
        <w:rPr>
          <w:lang w:val="en-GB"/>
        </w:rPr>
        <w:t>ow the supervision is organised;</w:t>
      </w:r>
      <w:r w:rsidR="00B83186" w:rsidRPr="00020E0A">
        <w:rPr>
          <w:lang w:val="en-GB"/>
        </w:rPr>
        <w:t xml:space="preserve"> a description of </w:t>
      </w:r>
      <w:r w:rsidRPr="00020E0A">
        <w:rPr>
          <w:lang w:val="en-GB"/>
        </w:rPr>
        <w:t xml:space="preserve">the undertakings made by the doctoral student and the </w:t>
      </w:r>
      <w:r w:rsidR="005553DA">
        <w:rPr>
          <w:lang w:val="en-GB"/>
        </w:rPr>
        <w:t xml:space="preserve">faculty board (or </w:t>
      </w:r>
      <w:r w:rsidR="00B83186" w:rsidRPr="00020E0A">
        <w:rPr>
          <w:lang w:val="en-GB"/>
        </w:rPr>
        <w:t xml:space="preserve">the </w:t>
      </w:r>
      <w:r w:rsidR="006B041E">
        <w:rPr>
          <w:lang w:val="en-GB"/>
        </w:rPr>
        <w:t>Centre</w:t>
      </w:r>
      <w:r w:rsidR="005553DA">
        <w:rPr>
          <w:lang w:val="en-GB"/>
        </w:rPr>
        <w:t xml:space="preserve"> on delegation from the faculty board</w:t>
      </w:r>
      <w:r w:rsidR="00B83186" w:rsidRPr="00020E0A">
        <w:rPr>
          <w:lang w:val="en-GB"/>
        </w:rPr>
        <w:t>) for the duration of the</w:t>
      </w:r>
      <w:r w:rsidR="00054A63">
        <w:rPr>
          <w:lang w:val="en-GB"/>
        </w:rPr>
        <w:t xml:space="preserve"> graduate programme;</w:t>
      </w:r>
      <w:r w:rsidR="00B83186" w:rsidRPr="00020E0A">
        <w:rPr>
          <w:lang w:val="en-GB"/>
        </w:rPr>
        <w:t xml:space="preserve"> as well as whatever else is necessary for the education to proceed efficiently during the duration of the programme</w:t>
      </w:r>
      <w:r w:rsidRPr="00020E0A">
        <w:rPr>
          <w:lang w:val="en-GB"/>
        </w:rPr>
        <w:t>.</w:t>
      </w:r>
    </w:p>
    <w:p w14:paraId="50DCCD29" w14:textId="1008F17F" w:rsidR="00054A63" w:rsidRDefault="00054A63" w:rsidP="00054A63">
      <w:pPr>
        <w:rPr>
          <w:lang w:val="en-GB"/>
        </w:rPr>
      </w:pPr>
      <w:r>
        <w:rPr>
          <w:lang w:val="en-GB"/>
        </w:rPr>
        <w:t xml:space="preserve">The individual study plan must also describe how supervision and other parts of the education will ensure that the doctoral student develops the ability to take responsibility for good research ethics and scientific probity being followed in their research.   </w:t>
      </w:r>
    </w:p>
    <w:p w14:paraId="7163B5C5" w14:textId="60A7AF08" w:rsidR="00054A63" w:rsidRDefault="00B83186" w:rsidP="006649F9">
      <w:pPr>
        <w:rPr>
          <w:lang w:val="en-GB"/>
        </w:rPr>
      </w:pPr>
      <w:r w:rsidRPr="00020E0A">
        <w:rPr>
          <w:lang w:val="en-GB"/>
        </w:rPr>
        <w:t xml:space="preserve">The individual study plan </w:t>
      </w:r>
      <w:r w:rsidR="00B60791" w:rsidRPr="00020E0A">
        <w:rPr>
          <w:lang w:val="en-GB"/>
        </w:rPr>
        <w:t>is to</w:t>
      </w:r>
      <w:r w:rsidRPr="00020E0A">
        <w:rPr>
          <w:lang w:val="en-GB"/>
        </w:rPr>
        <w:t xml:space="preserve"> be reviewed</w:t>
      </w:r>
      <w:r w:rsidR="00054A63">
        <w:rPr>
          <w:lang w:val="en-GB"/>
        </w:rPr>
        <w:t xml:space="preserve"> at least once a year by the doctoral student and their supervisors. </w:t>
      </w:r>
      <w:r w:rsidR="00054A63">
        <w:rPr>
          <w:shd w:val="clear" w:color="auto" w:fill="FFFFFF"/>
          <w:lang w:val="en-GB"/>
        </w:rPr>
        <w:t>T</w:t>
      </w:r>
      <w:r w:rsidR="00054A63" w:rsidRPr="0095082A">
        <w:rPr>
          <w:lang w:val="en-GB"/>
        </w:rPr>
        <w:t xml:space="preserve">he total period of employment may </w:t>
      </w:r>
      <w:r w:rsidR="00054A63">
        <w:rPr>
          <w:lang w:val="en-GB"/>
        </w:rPr>
        <w:t xml:space="preserve">be extended only </w:t>
      </w:r>
      <w:r w:rsidR="00054A63" w:rsidRPr="0095082A">
        <w:rPr>
          <w:lang w:val="en-GB"/>
        </w:rPr>
        <w:t>if there are special grounds for this. Such grounds may comprise leave of absence because of illness, leave of absence for service in the defence forces or an elected position in a trade union or student organisation, or parental leave</w:t>
      </w:r>
      <w:r w:rsidR="00054A63">
        <w:rPr>
          <w:lang w:val="en-GB"/>
        </w:rPr>
        <w:t xml:space="preserve">. </w:t>
      </w:r>
      <w:r w:rsidR="00FF18FD" w:rsidRPr="00020E0A">
        <w:rPr>
          <w:lang w:val="en-GB"/>
        </w:rPr>
        <w:t>The doctoral student, main supervi</w:t>
      </w:r>
      <w:r w:rsidR="005553DA">
        <w:rPr>
          <w:lang w:val="en-GB"/>
        </w:rPr>
        <w:t xml:space="preserve">sor and </w:t>
      </w:r>
      <w:r w:rsidR="006B041E">
        <w:rPr>
          <w:lang w:val="en-GB"/>
        </w:rPr>
        <w:t>Director</w:t>
      </w:r>
      <w:r w:rsidR="005553DA">
        <w:rPr>
          <w:lang w:val="en-GB"/>
        </w:rPr>
        <w:t xml:space="preserve"> must</w:t>
      </w:r>
      <w:r w:rsidR="00FF18FD" w:rsidRPr="00020E0A">
        <w:rPr>
          <w:lang w:val="en-GB"/>
        </w:rPr>
        <w:t xml:space="preserve"> affirm in writing that they have been informed about the contents of the individual study plan and any changes made within it (cf. SFS 2010: 1064, </w:t>
      </w:r>
      <w:r w:rsidR="00FF18FD">
        <w:rPr>
          <w:lang w:val="en-GB"/>
        </w:rPr>
        <w:t xml:space="preserve">HEO </w:t>
      </w:r>
      <w:r w:rsidR="00FF18FD" w:rsidRPr="00020E0A">
        <w:rPr>
          <w:lang w:val="en-GB"/>
        </w:rPr>
        <w:t>Ch. 6, Sec. 29</w:t>
      </w:r>
      <w:r w:rsidR="00FF18FD">
        <w:rPr>
          <w:lang w:val="en-GB"/>
        </w:rPr>
        <w:t>)</w:t>
      </w:r>
      <w:r w:rsidR="00FF18FD" w:rsidRPr="00020E0A">
        <w:rPr>
          <w:lang w:val="en-GB"/>
        </w:rPr>
        <w:t>.</w:t>
      </w:r>
    </w:p>
    <w:p w14:paraId="45090475" w14:textId="0B3FD7C4" w:rsidR="00744C28" w:rsidRPr="00020E0A" w:rsidRDefault="00FF18FD" w:rsidP="00C53525">
      <w:pPr>
        <w:rPr>
          <w:lang w:val="en-GB"/>
        </w:rPr>
      </w:pPr>
      <w:r>
        <w:rPr>
          <w:lang w:val="en-GB"/>
        </w:rPr>
        <w:t xml:space="preserve">The form for the </w:t>
      </w:r>
      <w:r w:rsidR="00E1732A" w:rsidRPr="00020E0A">
        <w:rPr>
          <w:lang w:val="en-GB"/>
        </w:rPr>
        <w:t xml:space="preserve">individual study plan can be downloaded from the faculty website. For more information regarding how the individual study plan is to be followed up, please consult the </w:t>
      </w:r>
      <w:r w:rsidR="00E1732A" w:rsidRPr="00FF18FD">
        <w:rPr>
          <w:i/>
          <w:lang w:val="en-GB"/>
        </w:rPr>
        <w:t xml:space="preserve">Guidelines for </w:t>
      </w:r>
      <w:r w:rsidR="00E239CF" w:rsidRPr="00FF18FD">
        <w:rPr>
          <w:i/>
          <w:lang w:val="en-GB"/>
        </w:rPr>
        <w:t xml:space="preserve">Third-Cycle Education at </w:t>
      </w:r>
      <w:r w:rsidR="00E1732A" w:rsidRPr="00FF18FD">
        <w:rPr>
          <w:i/>
          <w:lang w:val="en-GB"/>
        </w:rPr>
        <w:t>the Faculty of Arts</w:t>
      </w:r>
      <w:r w:rsidR="00E1732A" w:rsidRPr="00020E0A">
        <w:rPr>
          <w:lang w:val="en-GB"/>
        </w:rPr>
        <w:t>, HISTFILFAK 20</w:t>
      </w:r>
      <w:r>
        <w:rPr>
          <w:lang w:val="en-GB"/>
        </w:rPr>
        <w:t>20/73</w:t>
      </w:r>
      <w:r w:rsidR="00E1732A" w:rsidRPr="00020E0A">
        <w:rPr>
          <w:lang w:val="en-GB"/>
        </w:rPr>
        <w:t>.</w:t>
      </w:r>
    </w:p>
    <w:p w14:paraId="1EAF10F9" w14:textId="01A7F0AD" w:rsidR="00E1732A" w:rsidRPr="00020E0A" w:rsidRDefault="00E1732A" w:rsidP="00E1732A">
      <w:pPr>
        <w:pStyle w:val="Rubrik2"/>
        <w:rPr>
          <w:lang w:val="en-GB"/>
        </w:rPr>
      </w:pPr>
      <w:bookmarkStart w:id="13" w:name="_Toc81558118"/>
      <w:r w:rsidRPr="00020E0A">
        <w:rPr>
          <w:lang w:val="en-GB"/>
        </w:rPr>
        <w:lastRenderedPageBreak/>
        <w:t>5. Courses</w:t>
      </w:r>
      <w:bookmarkEnd w:id="13"/>
    </w:p>
    <w:p w14:paraId="1E2C511A" w14:textId="6B2EA673" w:rsidR="00E1732A" w:rsidRPr="00020E0A" w:rsidRDefault="00E1732A" w:rsidP="00E1732A">
      <w:pPr>
        <w:rPr>
          <w:lang w:val="en-GB"/>
        </w:rPr>
      </w:pPr>
      <w:r w:rsidRPr="00020E0A">
        <w:rPr>
          <w:lang w:val="en-GB"/>
        </w:rPr>
        <w:t xml:space="preserve">The graduate programme in </w:t>
      </w:r>
      <w:r w:rsidR="00DE166D" w:rsidRPr="00DE166D">
        <w:rPr>
          <w:lang w:val="en-GB"/>
        </w:rPr>
        <w:t>gender studies</w:t>
      </w:r>
      <w:r w:rsidRPr="00020E0A">
        <w:rPr>
          <w:lang w:val="en-GB"/>
        </w:rPr>
        <w:t xml:space="preserve"> comprises course work </w:t>
      </w:r>
      <w:r w:rsidRPr="00DE166D">
        <w:rPr>
          <w:lang w:val="en-GB"/>
        </w:rPr>
        <w:t xml:space="preserve">worth </w:t>
      </w:r>
      <w:r w:rsidR="00DE166D" w:rsidRPr="00DE166D">
        <w:rPr>
          <w:lang w:val="en-GB"/>
        </w:rPr>
        <w:t>60</w:t>
      </w:r>
      <w:r w:rsidRPr="00020E0A">
        <w:rPr>
          <w:b/>
          <w:lang w:val="en-GB"/>
        </w:rPr>
        <w:t xml:space="preserve"> </w:t>
      </w:r>
      <w:r w:rsidRPr="00020E0A">
        <w:rPr>
          <w:lang w:val="en-GB"/>
        </w:rPr>
        <w:t>academic credits.</w:t>
      </w:r>
    </w:p>
    <w:p w14:paraId="2BDB1CB1" w14:textId="73882878" w:rsidR="00DE166D" w:rsidRPr="00DE166D" w:rsidRDefault="00DE166D" w:rsidP="00E1732A">
      <w:pPr>
        <w:rPr>
          <w:lang w:val="en-GB"/>
        </w:rPr>
      </w:pPr>
      <w:r w:rsidRPr="00DE166D">
        <w:rPr>
          <w:lang w:val="en-GB"/>
        </w:rPr>
        <w:t>The following courses (totalling 45 academic credits) are mandatory:</w:t>
      </w:r>
    </w:p>
    <w:p w14:paraId="06B9B625" w14:textId="19EADCBC" w:rsidR="00D07C33" w:rsidRDefault="00DE166D" w:rsidP="00E1732A">
      <w:pPr>
        <w:pStyle w:val="Liststycke"/>
        <w:numPr>
          <w:ilvl w:val="0"/>
          <w:numId w:val="22"/>
        </w:numPr>
        <w:rPr>
          <w:lang w:val="en-GB"/>
        </w:rPr>
      </w:pPr>
      <w:r w:rsidRPr="00DE166D">
        <w:rPr>
          <w:lang w:val="en-GB"/>
        </w:rPr>
        <w:t>Faculty</w:t>
      </w:r>
      <w:r>
        <w:rPr>
          <w:lang w:val="en-GB"/>
        </w:rPr>
        <w:t xml:space="preserve"> course </w:t>
      </w:r>
      <w:r w:rsidR="00E1732A" w:rsidRPr="00DE166D">
        <w:rPr>
          <w:i/>
          <w:lang w:val="en-GB"/>
        </w:rPr>
        <w:t>Professional Trai</w:t>
      </w:r>
      <w:r w:rsidRPr="00DE166D">
        <w:rPr>
          <w:i/>
          <w:lang w:val="en-GB"/>
        </w:rPr>
        <w:t>ning in the Arts and Humanities</w:t>
      </w:r>
      <w:r>
        <w:rPr>
          <w:lang w:val="en-GB"/>
        </w:rPr>
        <w:t xml:space="preserve">, 7.5 academic credits. </w:t>
      </w:r>
      <w:r w:rsidR="00D07C33" w:rsidRPr="00DE166D">
        <w:rPr>
          <w:lang w:val="en-GB"/>
        </w:rPr>
        <w:t>The course is given in English and taught by faculty professors and guest lecturers. The focus of the course is professional training for research within the disciplinary domain of the arts and humanities.</w:t>
      </w:r>
      <w:r w:rsidR="00FF6039" w:rsidRPr="00DE166D">
        <w:rPr>
          <w:lang w:val="en-GB"/>
        </w:rPr>
        <w:t xml:space="preserve"> The course also includes elements on good research ethics and scientific probity. </w:t>
      </w:r>
      <w:r w:rsidR="00D07C33" w:rsidRPr="00DE166D">
        <w:rPr>
          <w:lang w:val="en-GB"/>
        </w:rPr>
        <w:t xml:space="preserve">Normally, doctoral students take the course during their first year on the programme. </w:t>
      </w:r>
    </w:p>
    <w:p w14:paraId="6AF627DA" w14:textId="2FC64CD9" w:rsidR="00C85EBB" w:rsidRPr="003D0494" w:rsidRDefault="00C85EBB" w:rsidP="00C85EBB">
      <w:pPr>
        <w:numPr>
          <w:ilvl w:val="0"/>
          <w:numId w:val="22"/>
        </w:numPr>
        <w:spacing w:after="0" w:line="240" w:lineRule="auto"/>
        <w:rPr>
          <w:lang w:val="en-GB"/>
        </w:rPr>
      </w:pPr>
      <w:r w:rsidRPr="003D0494">
        <w:rPr>
          <w:lang w:val="en-GB"/>
        </w:rPr>
        <w:t xml:space="preserve">Gender studies: Theories, 15 </w:t>
      </w:r>
      <w:r>
        <w:rPr>
          <w:lang w:val="en-GB"/>
        </w:rPr>
        <w:t xml:space="preserve">academic </w:t>
      </w:r>
      <w:r w:rsidRPr="003D0494">
        <w:rPr>
          <w:lang w:val="en-GB"/>
        </w:rPr>
        <w:t xml:space="preserve">credits </w:t>
      </w:r>
    </w:p>
    <w:p w14:paraId="0063BCDA" w14:textId="00A5B2A3" w:rsidR="00C85EBB" w:rsidRPr="003D0494" w:rsidRDefault="00C85EBB" w:rsidP="00C85EBB">
      <w:pPr>
        <w:numPr>
          <w:ilvl w:val="0"/>
          <w:numId w:val="22"/>
        </w:numPr>
        <w:spacing w:after="0" w:line="240" w:lineRule="auto"/>
        <w:rPr>
          <w:lang w:val="en-GB"/>
        </w:rPr>
      </w:pPr>
      <w:r w:rsidRPr="003D0494">
        <w:rPr>
          <w:lang w:val="en-GB"/>
        </w:rPr>
        <w:t xml:space="preserve">Gender studies: Methods, 15 </w:t>
      </w:r>
      <w:r>
        <w:rPr>
          <w:lang w:val="en-GB"/>
        </w:rPr>
        <w:t xml:space="preserve">academic </w:t>
      </w:r>
      <w:r w:rsidRPr="003D0494">
        <w:rPr>
          <w:lang w:val="en-GB"/>
        </w:rPr>
        <w:t>credits</w:t>
      </w:r>
    </w:p>
    <w:p w14:paraId="3FAEBD92" w14:textId="344FF920" w:rsidR="00DE166D" w:rsidRDefault="00C85EBB" w:rsidP="00C85EBB">
      <w:pPr>
        <w:numPr>
          <w:ilvl w:val="0"/>
          <w:numId w:val="22"/>
        </w:numPr>
        <w:spacing w:after="0" w:line="240" w:lineRule="auto"/>
        <w:rPr>
          <w:lang w:val="en-GB"/>
        </w:rPr>
      </w:pPr>
      <w:r w:rsidRPr="003D0494">
        <w:rPr>
          <w:lang w:val="en-GB"/>
        </w:rPr>
        <w:t xml:space="preserve">Thematic specialization, 7.5 </w:t>
      </w:r>
      <w:r>
        <w:rPr>
          <w:lang w:val="en-GB"/>
        </w:rPr>
        <w:t xml:space="preserve">academic </w:t>
      </w:r>
      <w:r w:rsidRPr="003D0494">
        <w:rPr>
          <w:lang w:val="en-GB"/>
        </w:rPr>
        <w:t>credits</w:t>
      </w:r>
    </w:p>
    <w:p w14:paraId="43C057BE" w14:textId="77777777" w:rsidR="00C85EBB" w:rsidRPr="00C85EBB" w:rsidRDefault="00C85EBB" w:rsidP="00C85EBB">
      <w:pPr>
        <w:spacing w:after="0" w:line="240" w:lineRule="auto"/>
        <w:ind w:left="720"/>
        <w:rPr>
          <w:lang w:val="en-GB"/>
        </w:rPr>
      </w:pPr>
    </w:p>
    <w:p w14:paraId="01ED43C1" w14:textId="110DB45C" w:rsidR="00412A4A" w:rsidRPr="00C85EBB" w:rsidRDefault="00594629" w:rsidP="00412A4A">
      <w:pPr>
        <w:rPr>
          <w:lang w:val="en-GB"/>
        </w:rPr>
      </w:pPr>
      <w:r w:rsidRPr="00C85EBB">
        <w:rPr>
          <w:lang w:val="en-GB"/>
        </w:rPr>
        <w:t xml:space="preserve">Doctoral </w:t>
      </w:r>
      <w:r w:rsidR="006B041E" w:rsidRPr="00C85EBB">
        <w:rPr>
          <w:lang w:val="en-GB"/>
        </w:rPr>
        <w:t xml:space="preserve">students with an education in gender studies on undergraduate and/or advanced level, or with an education in </w:t>
      </w:r>
      <w:r w:rsidRPr="00C85EBB">
        <w:rPr>
          <w:lang w:val="en-GB"/>
        </w:rPr>
        <w:t>an</w:t>
      </w:r>
      <w:r w:rsidR="006B041E" w:rsidRPr="00C85EBB">
        <w:rPr>
          <w:lang w:val="en-GB"/>
        </w:rPr>
        <w:t>other subje</w:t>
      </w:r>
      <w:r w:rsidRPr="00C85EBB">
        <w:rPr>
          <w:lang w:val="en-GB"/>
        </w:rPr>
        <w:t>ct</w:t>
      </w:r>
      <w:r w:rsidR="006B041E" w:rsidRPr="00C85EBB">
        <w:rPr>
          <w:lang w:val="en-GB"/>
        </w:rPr>
        <w:t xml:space="preserve"> with a specialisation/relevance in gen</w:t>
      </w:r>
      <w:r w:rsidRPr="00C85EBB">
        <w:rPr>
          <w:lang w:val="en-GB"/>
        </w:rPr>
        <w:t xml:space="preserve">der studies, can </w:t>
      </w:r>
      <w:r w:rsidR="0076090F" w:rsidRPr="00C85EBB">
        <w:rPr>
          <w:lang w:val="en-GB"/>
        </w:rPr>
        <w:t>also take</w:t>
      </w:r>
      <w:r w:rsidRPr="00C85EBB">
        <w:rPr>
          <w:lang w:val="en-GB"/>
        </w:rPr>
        <w:t xml:space="preserve"> elective courses comprising of 15 academic credits. </w:t>
      </w:r>
    </w:p>
    <w:p w14:paraId="02A3FFD8" w14:textId="0284D573" w:rsidR="00594629" w:rsidRPr="00C85EBB" w:rsidRDefault="00594629" w:rsidP="00412A4A">
      <w:pPr>
        <w:rPr>
          <w:lang w:val="en-GB"/>
        </w:rPr>
      </w:pPr>
      <w:r w:rsidRPr="00C85EBB">
        <w:rPr>
          <w:lang w:val="en-GB"/>
        </w:rPr>
        <w:t>For doctoral students with no prior education in gender studies</w:t>
      </w:r>
      <w:r w:rsidR="0076090F" w:rsidRPr="00C85EBB">
        <w:rPr>
          <w:lang w:val="en-GB"/>
        </w:rPr>
        <w:t>,</w:t>
      </w:r>
      <w:r w:rsidRPr="00C85EBB">
        <w:rPr>
          <w:lang w:val="en-GB"/>
        </w:rPr>
        <w:t xml:space="preserve"> or in another subject with a specialisation/relevance in gender studies</w:t>
      </w:r>
      <w:r w:rsidR="0076090F" w:rsidRPr="00C85EBB">
        <w:rPr>
          <w:lang w:val="en-GB"/>
        </w:rPr>
        <w:t>,</w:t>
      </w:r>
      <w:r w:rsidRPr="00C85EBB">
        <w:rPr>
          <w:lang w:val="en-GB"/>
        </w:rPr>
        <w:t xml:space="preserve"> the elective courses are replaced in full or in part, depending on the doctoral student’s background and needs, by </w:t>
      </w:r>
      <w:r w:rsidR="0070630A" w:rsidRPr="00C85EBB">
        <w:rPr>
          <w:lang w:val="en-GB"/>
        </w:rPr>
        <w:t>specifically</w:t>
      </w:r>
      <w:r w:rsidRPr="00C85EBB">
        <w:rPr>
          <w:lang w:val="en-GB"/>
        </w:rPr>
        <w:t xml:space="preserve"> designed orientation courses in gender studies. Content and scope </w:t>
      </w:r>
      <w:proofErr w:type="gramStart"/>
      <w:r w:rsidRPr="00C85EBB">
        <w:rPr>
          <w:lang w:val="en-GB"/>
        </w:rPr>
        <w:t>is</w:t>
      </w:r>
      <w:proofErr w:type="gramEnd"/>
      <w:r w:rsidRPr="00C85EBB">
        <w:rPr>
          <w:lang w:val="en-GB"/>
        </w:rPr>
        <w:t xml:space="preserve"> specified in the individual study plan. </w:t>
      </w:r>
    </w:p>
    <w:p w14:paraId="153A461A" w14:textId="33CD85C3" w:rsidR="00FF18FD" w:rsidRDefault="00FF18FD" w:rsidP="00E1732A">
      <w:pPr>
        <w:rPr>
          <w:lang w:val="en-GB"/>
        </w:rPr>
      </w:pPr>
      <w:r>
        <w:rPr>
          <w:lang w:val="en-GB"/>
        </w:rPr>
        <w:t>Doctoral students with teaching duties should take an academic teacher training course. This could either be counted towards the doctoral student’s course work, or be a part of their department duties.</w:t>
      </w:r>
    </w:p>
    <w:p w14:paraId="6E914ABA" w14:textId="2E0839BF" w:rsidR="00594629" w:rsidRPr="00020E0A" w:rsidRDefault="00594629" w:rsidP="00E1732A">
      <w:pPr>
        <w:rPr>
          <w:lang w:val="en-GB"/>
        </w:rPr>
      </w:pPr>
      <w:r w:rsidRPr="00C85EBB">
        <w:rPr>
          <w:lang w:val="en-GB"/>
        </w:rPr>
        <w:t xml:space="preserve">For a Licentiate degree, 7.5 academic credits </w:t>
      </w:r>
      <w:r w:rsidR="0013463D" w:rsidRPr="00C85EBB">
        <w:rPr>
          <w:lang w:val="en-GB"/>
        </w:rPr>
        <w:t>have to have been acquired from each of the courses a-d.</w:t>
      </w:r>
      <w:r>
        <w:rPr>
          <w:lang w:val="en-GB"/>
        </w:rPr>
        <w:t xml:space="preserve"> </w:t>
      </w:r>
    </w:p>
    <w:p w14:paraId="0B7D27B1" w14:textId="67E3096C" w:rsidR="00B37468" w:rsidRPr="00020E0A" w:rsidRDefault="00B37468" w:rsidP="00B37468">
      <w:pPr>
        <w:pStyle w:val="Rubrik3"/>
        <w:rPr>
          <w:lang w:val="en-GB"/>
        </w:rPr>
      </w:pPr>
      <w:bookmarkStart w:id="14" w:name="_Toc81558119"/>
      <w:r w:rsidRPr="00020E0A">
        <w:rPr>
          <w:lang w:val="en-GB"/>
        </w:rPr>
        <w:t>5.1 Examination</w:t>
      </w:r>
      <w:bookmarkEnd w:id="14"/>
    </w:p>
    <w:p w14:paraId="62761A7D" w14:textId="23937431" w:rsidR="00B37468" w:rsidRPr="00020E0A" w:rsidRDefault="00B37468" w:rsidP="00B37468">
      <w:pPr>
        <w:rPr>
          <w:lang w:val="en-GB"/>
        </w:rPr>
      </w:pPr>
      <w:r w:rsidRPr="00020E0A">
        <w:rPr>
          <w:lang w:val="en-GB"/>
        </w:rPr>
        <w:t xml:space="preserve">Every course within </w:t>
      </w:r>
      <w:r w:rsidR="008558FD">
        <w:rPr>
          <w:lang w:val="en-GB"/>
        </w:rPr>
        <w:t xml:space="preserve">a doctoral programme </w:t>
      </w:r>
      <w:r w:rsidRPr="00020E0A">
        <w:rPr>
          <w:lang w:val="en-GB"/>
        </w:rPr>
        <w:t>i</w:t>
      </w:r>
      <w:r w:rsidR="00B60791" w:rsidRPr="00020E0A">
        <w:rPr>
          <w:lang w:val="en-GB"/>
        </w:rPr>
        <w:t>s examined orally or through</w:t>
      </w:r>
      <w:r w:rsidRPr="00020E0A">
        <w:rPr>
          <w:lang w:val="en-GB"/>
        </w:rPr>
        <w:t xml:space="preserve"> a written test or assignment. </w:t>
      </w:r>
      <w:r w:rsidR="00B60791" w:rsidRPr="00020E0A">
        <w:rPr>
          <w:lang w:val="en-GB"/>
        </w:rPr>
        <w:t xml:space="preserve">Each instance of assessment is awarded </w:t>
      </w:r>
      <w:r w:rsidR="008558FD">
        <w:rPr>
          <w:lang w:val="en-GB"/>
        </w:rPr>
        <w:t xml:space="preserve">a </w:t>
      </w:r>
      <w:r w:rsidRPr="00020E0A">
        <w:rPr>
          <w:lang w:val="en-GB"/>
        </w:rPr>
        <w:t>grade</w:t>
      </w:r>
      <w:r w:rsidR="008558FD">
        <w:rPr>
          <w:lang w:val="en-GB"/>
        </w:rPr>
        <w:t xml:space="preserve"> of </w:t>
      </w:r>
      <w:r w:rsidRPr="00020E0A">
        <w:rPr>
          <w:lang w:val="en-GB"/>
        </w:rPr>
        <w:t>Pass or Fail. The grade is assigned</w:t>
      </w:r>
      <w:r w:rsidR="005553DA">
        <w:rPr>
          <w:lang w:val="en-GB"/>
        </w:rPr>
        <w:t xml:space="preserve"> by an examiner appointed by a senior</w:t>
      </w:r>
      <w:r w:rsidRPr="00020E0A">
        <w:rPr>
          <w:lang w:val="en-GB"/>
        </w:rPr>
        <w:t xml:space="preserve"> </w:t>
      </w:r>
      <w:r w:rsidR="005553DA">
        <w:rPr>
          <w:lang w:val="en-GB"/>
        </w:rPr>
        <w:t>faculty administrator</w:t>
      </w:r>
      <w:r w:rsidRPr="00020E0A">
        <w:rPr>
          <w:lang w:val="en-GB"/>
        </w:rPr>
        <w:t>.</w:t>
      </w:r>
      <w:r w:rsidR="005553DA">
        <w:rPr>
          <w:lang w:val="en-GB"/>
        </w:rPr>
        <w:t xml:space="preserve"> The examiner must have obtained the rank of associate professor (docent) or higher.</w:t>
      </w:r>
    </w:p>
    <w:p w14:paraId="6296D11B" w14:textId="0F0B3F33" w:rsidR="00376346" w:rsidRPr="00020E0A" w:rsidRDefault="004115B3" w:rsidP="00376346">
      <w:pPr>
        <w:pStyle w:val="Rubrik3"/>
        <w:rPr>
          <w:lang w:val="en-GB"/>
        </w:rPr>
      </w:pPr>
      <w:bookmarkStart w:id="15" w:name="_Toc81558120"/>
      <w:r w:rsidRPr="00020E0A">
        <w:rPr>
          <w:lang w:val="en-GB"/>
        </w:rPr>
        <w:t>5.2 Credit t</w:t>
      </w:r>
      <w:r w:rsidR="00376346" w:rsidRPr="00020E0A">
        <w:rPr>
          <w:lang w:val="en-GB"/>
        </w:rPr>
        <w:t>ransfer</w:t>
      </w:r>
      <w:bookmarkEnd w:id="15"/>
    </w:p>
    <w:p w14:paraId="2309E32A" w14:textId="47F56F80" w:rsidR="00376346" w:rsidRPr="00020E0A" w:rsidRDefault="00376346" w:rsidP="00376346">
      <w:pPr>
        <w:rPr>
          <w:lang w:val="en-GB"/>
        </w:rPr>
      </w:pPr>
      <w:r w:rsidRPr="00020E0A">
        <w:rPr>
          <w:lang w:val="en-GB"/>
        </w:rPr>
        <w:t xml:space="preserve">Doctoral students can read courses at another institution of higher education and </w:t>
      </w:r>
      <w:r w:rsidR="008558FD">
        <w:rPr>
          <w:lang w:val="en-GB"/>
        </w:rPr>
        <w:t xml:space="preserve">may </w:t>
      </w:r>
      <w:r w:rsidRPr="00020E0A">
        <w:rPr>
          <w:lang w:val="en-GB"/>
        </w:rPr>
        <w:t>in some cases</w:t>
      </w:r>
      <w:r w:rsidR="000108C5" w:rsidRPr="00020E0A">
        <w:rPr>
          <w:lang w:val="en-GB"/>
        </w:rPr>
        <w:t>, if the supervisors agree,</w:t>
      </w:r>
      <w:r w:rsidRPr="00020E0A">
        <w:rPr>
          <w:lang w:val="en-GB"/>
        </w:rPr>
        <w:t xml:space="preserve"> have all or some of the credits from these courses transferred to the </w:t>
      </w:r>
      <w:r w:rsidR="008558FD">
        <w:rPr>
          <w:lang w:val="en-GB"/>
        </w:rPr>
        <w:t xml:space="preserve">doctoral </w:t>
      </w:r>
      <w:r w:rsidRPr="00020E0A">
        <w:rPr>
          <w:lang w:val="en-GB"/>
        </w:rPr>
        <w:t>programme</w:t>
      </w:r>
      <w:r w:rsidR="000108C5" w:rsidRPr="00020E0A">
        <w:rPr>
          <w:lang w:val="en-GB"/>
        </w:rPr>
        <w:t xml:space="preserve">. </w:t>
      </w:r>
    </w:p>
    <w:p w14:paraId="425A1388" w14:textId="1840582F" w:rsidR="000108C5" w:rsidRPr="00020E0A" w:rsidRDefault="000108C5" w:rsidP="00376346">
      <w:pPr>
        <w:rPr>
          <w:lang w:val="en-GB"/>
        </w:rPr>
      </w:pPr>
      <w:r w:rsidRPr="00020E0A">
        <w:rPr>
          <w:lang w:val="en-GB"/>
        </w:rPr>
        <w:t xml:space="preserve">Applicants to the </w:t>
      </w:r>
      <w:r w:rsidR="008558FD">
        <w:rPr>
          <w:lang w:val="en-GB"/>
        </w:rPr>
        <w:t xml:space="preserve">doctoral </w:t>
      </w:r>
      <w:r w:rsidRPr="00020E0A">
        <w:rPr>
          <w:lang w:val="en-GB"/>
        </w:rPr>
        <w:t xml:space="preserve">programme with an MA degree or a level of </w:t>
      </w:r>
      <w:r w:rsidR="00B60791" w:rsidRPr="00020E0A">
        <w:rPr>
          <w:lang w:val="en-GB"/>
        </w:rPr>
        <w:t>education that surpasses the general and special eligibility requirements</w:t>
      </w:r>
      <w:r w:rsidRPr="00020E0A">
        <w:rPr>
          <w:lang w:val="en-GB"/>
        </w:rPr>
        <w:t xml:space="preserve"> can apply for credit transfer from courses they have taken previously.</w:t>
      </w:r>
      <w:r w:rsidR="008558FD">
        <w:rPr>
          <w:lang w:val="en-GB"/>
        </w:rPr>
        <w:t xml:space="preserve"> Such a credit transfer may not be used as grounds for demanding the doctoral student to complete their studies in a shorter time. </w:t>
      </w:r>
    </w:p>
    <w:p w14:paraId="7AD50D18" w14:textId="37A00AC7" w:rsidR="00D07C33" w:rsidRPr="00020E0A" w:rsidRDefault="008558FD" w:rsidP="009811A7">
      <w:pPr>
        <w:pStyle w:val="Rubrik2"/>
        <w:rPr>
          <w:lang w:val="en-GB"/>
        </w:rPr>
      </w:pPr>
      <w:bookmarkStart w:id="16" w:name="_Toc81558121"/>
      <w:r>
        <w:rPr>
          <w:lang w:val="en-GB"/>
        </w:rPr>
        <w:lastRenderedPageBreak/>
        <w:t>6. Dissertation and Defenc</w:t>
      </w:r>
      <w:r w:rsidR="009811A7" w:rsidRPr="00020E0A">
        <w:rPr>
          <w:lang w:val="en-GB"/>
        </w:rPr>
        <w:t>e</w:t>
      </w:r>
      <w:bookmarkEnd w:id="16"/>
    </w:p>
    <w:p w14:paraId="53FFA4E1" w14:textId="3A616608" w:rsidR="009811A7" w:rsidRPr="00020E0A" w:rsidRDefault="009811A7" w:rsidP="009811A7">
      <w:pPr>
        <w:pStyle w:val="Rubrik3"/>
        <w:rPr>
          <w:lang w:val="en-GB"/>
        </w:rPr>
      </w:pPr>
      <w:bookmarkStart w:id="17" w:name="_Toc81558122"/>
      <w:r w:rsidRPr="00020E0A">
        <w:rPr>
          <w:lang w:val="en-GB"/>
        </w:rPr>
        <w:t>6.1 Dissertation</w:t>
      </w:r>
      <w:bookmarkEnd w:id="17"/>
    </w:p>
    <w:p w14:paraId="72948C1C" w14:textId="607CEEC2" w:rsidR="002A3200" w:rsidRPr="00020E0A" w:rsidRDefault="000908D6" w:rsidP="009811A7">
      <w:pPr>
        <w:rPr>
          <w:lang w:val="en-GB"/>
        </w:rPr>
      </w:pPr>
      <w:r w:rsidRPr="00C85EBB">
        <w:rPr>
          <w:lang w:val="en-GB"/>
        </w:rPr>
        <w:t>The doctoral thesis should reflect the lea</w:t>
      </w:r>
      <w:r w:rsidR="0070630A" w:rsidRPr="00C85EBB">
        <w:rPr>
          <w:lang w:val="en-GB"/>
        </w:rPr>
        <w:t xml:space="preserve">rning outcomes </w:t>
      </w:r>
      <w:r w:rsidR="00CF088B" w:rsidRPr="00C85EBB">
        <w:rPr>
          <w:lang w:val="en-GB"/>
        </w:rPr>
        <w:t>of</w:t>
      </w:r>
      <w:r w:rsidR="0070630A" w:rsidRPr="00C85EBB">
        <w:rPr>
          <w:lang w:val="en-GB"/>
        </w:rPr>
        <w:t xml:space="preserve"> the PhD programme </w:t>
      </w:r>
      <w:r w:rsidRPr="00C85EBB">
        <w:rPr>
          <w:lang w:val="en-GB"/>
        </w:rPr>
        <w:t xml:space="preserve">in gender studies. </w:t>
      </w:r>
      <w:r w:rsidR="001F302B" w:rsidRPr="00C85EBB">
        <w:rPr>
          <w:lang w:val="en-GB"/>
        </w:rPr>
        <w:t>A</w:t>
      </w:r>
      <w:r w:rsidR="001F302B" w:rsidRPr="00020E0A">
        <w:rPr>
          <w:lang w:val="en-GB"/>
        </w:rPr>
        <w:t xml:space="preserve"> d</w:t>
      </w:r>
      <w:r w:rsidR="00807DE6" w:rsidRPr="00020E0A">
        <w:rPr>
          <w:lang w:val="en-GB"/>
        </w:rPr>
        <w:t xml:space="preserve">octoral dissertation can </w:t>
      </w:r>
      <w:r w:rsidR="008558FD">
        <w:rPr>
          <w:lang w:val="en-GB"/>
        </w:rPr>
        <w:t>take</w:t>
      </w:r>
      <w:r w:rsidR="001F302B" w:rsidRPr="00020E0A">
        <w:rPr>
          <w:lang w:val="en-GB"/>
        </w:rPr>
        <w:t xml:space="preserve"> the form either of a</w:t>
      </w:r>
      <w:r w:rsidR="00807DE6" w:rsidRPr="00020E0A">
        <w:rPr>
          <w:lang w:val="en-GB"/>
        </w:rPr>
        <w:t xml:space="preserve"> monograph, i.e. </w:t>
      </w:r>
      <w:r w:rsidR="001F302B" w:rsidRPr="00020E0A">
        <w:rPr>
          <w:lang w:val="en-GB"/>
        </w:rPr>
        <w:t xml:space="preserve">an integrated, </w:t>
      </w:r>
      <w:r w:rsidR="00807DE6" w:rsidRPr="00020E0A">
        <w:rPr>
          <w:lang w:val="en-GB"/>
        </w:rPr>
        <w:t>coherent</w:t>
      </w:r>
      <w:r w:rsidR="001F302B" w:rsidRPr="00020E0A">
        <w:rPr>
          <w:lang w:val="en-GB"/>
        </w:rPr>
        <w:t xml:space="preserve"> scientific </w:t>
      </w:r>
      <w:r w:rsidR="007C75BB" w:rsidRPr="00020E0A">
        <w:rPr>
          <w:lang w:val="en-GB"/>
        </w:rPr>
        <w:t>study of some length</w:t>
      </w:r>
      <w:r w:rsidR="001F302B" w:rsidRPr="00020E0A">
        <w:rPr>
          <w:lang w:val="en-GB"/>
        </w:rPr>
        <w:t xml:space="preserve">, or of a compilation thesis comprising scientific articles (normally at least four) which the doctoral </w:t>
      </w:r>
      <w:r w:rsidR="007C75BB" w:rsidRPr="00020E0A">
        <w:rPr>
          <w:lang w:val="en-GB"/>
        </w:rPr>
        <w:t xml:space="preserve">student </w:t>
      </w:r>
      <w:r w:rsidR="001F302B" w:rsidRPr="00020E0A">
        <w:rPr>
          <w:lang w:val="en-GB"/>
        </w:rPr>
        <w:t xml:space="preserve">has written </w:t>
      </w:r>
      <w:r w:rsidR="007C75BB" w:rsidRPr="00020E0A">
        <w:rPr>
          <w:lang w:val="en-GB"/>
        </w:rPr>
        <w:t xml:space="preserve">on </w:t>
      </w:r>
      <w:r w:rsidR="008558FD">
        <w:rPr>
          <w:lang w:val="en-GB"/>
        </w:rPr>
        <w:t>their</w:t>
      </w:r>
      <w:r w:rsidR="007C75BB" w:rsidRPr="00020E0A">
        <w:rPr>
          <w:lang w:val="en-GB"/>
        </w:rPr>
        <w:t xml:space="preserve"> own </w:t>
      </w:r>
      <w:r w:rsidR="001F302B" w:rsidRPr="00020E0A">
        <w:rPr>
          <w:lang w:val="en-GB"/>
        </w:rPr>
        <w:t xml:space="preserve">or together with someone else. Treatises and articles written by several individuals may be counted toward the doctorate only if it is possible to distinguish the work of the doctoral </w:t>
      </w:r>
      <w:r w:rsidR="007C75BB" w:rsidRPr="00020E0A">
        <w:rPr>
          <w:lang w:val="en-GB"/>
        </w:rPr>
        <w:t xml:space="preserve">student </w:t>
      </w:r>
      <w:r w:rsidR="001F302B" w:rsidRPr="00020E0A">
        <w:rPr>
          <w:lang w:val="en-GB"/>
        </w:rPr>
        <w:t>so that it may be tried against the Qualifications Ordinance (</w:t>
      </w:r>
      <w:r w:rsidR="008558FD">
        <w:rPr>
          <w:lang w:val="en-GB"/>
        </w:rPr>
        <w:t xml:space="preserve">AFUU </w:t>
      </w:r>
      <w:r w:rsidR="00FF6039">
        <w:rPr>
          <w:lang w:val="en-GB"/>
        </w:rPr>
        <w:t xml:space="preserve">Sec. </w:t>
      </w:r>
      <w:r w:rsidR="008558FD">
        <w:rPr>
          <w:lang w:val="en-GB"/>
        </w:rPr>
        <w:t>6</w:t>
      </w:r>
      <w:r w:rsidR="001F302B" w:rsidRPr="00020E0A">
        <w:rPr>
          <w:lang w:val="en-GB"/>
        </w:rPr>
        <w:t xml:space="preserve">). </w:t>
      </w:r>
      <w:r w:rsidR="002A3200" w:rsidRPr="00020E0A">
        <w:rPr>
          <w:lang w:val="en-GB"/>
        </w:rPr>
        <w:t>A compilation thesis should contain introductory or summary chapters, which summarise the res</w:t>
      </w:r>
      <w:r w:rsidR="00FF6039">
        <w:rPr>
          <w:lang w:val="en-GB"/>
        </w:rPr>
        <w:t>ults of the appended papers,</w:t>
      </w:r>
      <w:r w:rsidR="002A3200" w:rsidRPr="00020E0A">
        <w:rPr>
          <w:lang w:val="en-GB"/>
        </w:rPr>
        <w:t xml:space="preserve"> make it clear how the different studies taken together fulfil the goals set </w:t>
      </w:r>
      <w:r w:rsidR="00FF6039">
        <w:rPr>
          <w:lang w:val="en-GB"/>
        </w:rPr>
        <w:t>by the Qualifications Ordinance and</w:t>
      </w:r>
      <w:r w:rsidR="002A3200" w:rsidRPr="00020E0A">
        <w:rPr>
          <w:lang w:val="en-GB"/>
        </w:rPr>
        <w:t xml:space="preserve"> that they have treated a coherent research problem. They should also clarify the contribution by the doctoral student in these studies.</w:t>
      </w:r>
    </w:p>
    <w:p w14:paraId="79B1F06C" w14:textId="024EB4BA" w:rsidR="009811A7" w:rsidRDefault="002A3200" w:rsidP="009811A7">
      <w:pPr>
        <w:rPr>
          <w:lang w:val="en-GB"/>
        </w:rPr>
      </w:pPr>
      <w:r w:rsidRPr="00020E0A">
        <w:rPr>
          <w:lang w:val="en-GB"/>
        </w:rPr>
        <w:t xml:space="preserve">When appropriate, the above also applies to licentiate theses. </w:t>
      </w:r>
    </w:p>
    <w:p w14:paraId="2077EE5B" w14:textId="46E05553" w:rsidR="005553DA" w:rsidRPr="00020E0A" w:rsidRDefault="005553DA" w:rsidP="009811A7">
      <w:pPr>
        <w:rPr>
          <w:lang w:val="en-GB"/>
        </w:rPr>
      </w:pPr>
      <w:r>
        <w:rPr>
          <w:lang w:val="en-GB"/>
        </w:rPr>
        <w:t>The thesis must be examined by an external examiner at a final seminar well before the thesis defence.</w:t>
      </w:r>
    </w:p>
    <w:p w14:paraId="2C817038" w14:textId="118AE3D5" w:rsidR="002A3200" w:rsidRPr="00020E0A" w:rsidRDefault="008664B8" w:rsidP="002A3200">
      <w:pPr>
        <w:pStyle w:val="Rubrik3"/>
        <w:rPr>
          <w:lang w:val="en-GB"/>
        </w:rPr>
      </w:pPr>
      <w:bookmarkStart w:id="18" w:name="_Toc81558123"/>
      <w:r w:rsidRPr="00020E0A">
        <w:rPr>
          <w:lang w:val="en-GB"/>
        </w:rPr>
        <w:t>6.2 Public defenc</w:t>
      </w:r>
      <w:r w:rsidR="002A3200" w:rsidRPr="00020E0A">
        <w:rPr>
          <w:lang w:val="en-GB"/>
        </w:rPr>
        <w:t>e</w:t>
      </w:r>
      <w:bookmarkEnd w:id="18"/>
    </w:p>
    <w:p w14:paraId="049C6689" w14:textId="77777777" w:rsidR="005553DA" w:rsidRDefault="00FF6039" w:rsidP="002A3200">
      <w:pPr>
        <w:rPr>
          <w:lang w:val="en-GB"/>
        </w:rPr>
      </w:pPr>
      <w:r>
        <w:rPr>
          <w:lang w:val="en-GB"/>
        </w:rPr>
        <w:t xml:space="preserve">The public defence is regulated in HEO, Ch. 6, AFUU, Sec. 7 and RUF, Sec. 11. </w:t>
      </w:r>
    </w:p>
    <w:p w14:paraId="458C8EDD" w14:textId="51ECCDB4" w:rsidR="002A3200" w:rsidRPr="00020E0A" w:rsidRDefault="002A3200" w:rsidP="002A3200">
      <w:pPr>
        <w:rPr>
          <w:lang w:val="en-GB"/>
        </w:rPr>
      </w:pPr>
      <w:r w:rsidRPr="00020E0A">
        <w:rPr>
          <w:lang w:val="en-GB"/>
        </w:rPr>
        <w:t xml:space="preserve">The doctoral thesis is to be presented and defended orally at a public defence. The time and place for the defence is </w:t>
      </w:r>
      <w:r w:rsidR="00CB3B02" w:rsidRPr="00020E0A">
        <w:rPr>
          <w:lang w:val="en-GB"/>
        </w:rPr>
        <w:t>set</w:t>
      </w:r>
      <w:r w:rsidRPr="00020E0A">
        <w:rPr>
          <w:lang w:val="en-GB"/>
        </w:rPr>
        <w:t xml:space="preserve"> by the Dean</w:t>
      </w:r>
      <w:r w:rsidR="00CB3B02" w:rsidRPr="00020E0A">
        <w:rPr>
          <w:lang w:val="en-GB"/>
        </w:rPr>
        <w:t xml:space="preserve"> of the f</w:t>
      </w:r>
      <w:r w:rsidRPr="00020E0A">
        <w:rPr>
          <w:lang w:val="en-GB"/>
        </w:rPr>
        <w:t xml:space="preserve">aculty, with the proviso that </w:t>
      </w:r>
      <w:r w:rsidR="003D1F10" w:rsidRPr="00020E0A">
        <w:rPr>
          <w:lang w:val="en-GB"/>
        </w:rPr>
        <w:t>the defence should take place during semesters</w:t>
      </w:r>
      <w:r w:rsidR="00FF6039">
        <w:rPr>
          <w:lang w:val="en-GB"/>
        </w:rPr>
        <w:t xml:space="preserve"> or</w:t>
      </w:r>
      <w:r w:rsidR="008558FD">
        <w:rPr>
          <w:lang w:val="en-GB"/>
        </w:rPr>
        <w:t xml:space="preserve"> during the summer recess, with the exception of the period between 15 June and 15 August</w:t>
      </w:r>
      <w:r w:rsidR="003D1F10" w:rsidRPr="00020E0A">
        <w:rPr>
          <w:lang w:val="en-GB"/>
        </w:rPr>
        <w:t>.</w:t>
      </w:r>
    </w:p>
    <w:p w14:paraId="5B0A2D91" w14:textId="19E98EA4" w:rsidR="003D1F10" w:rsidRPr="00020E0A" w:rsidRDefault="008558FD" w:rsidP="002A3200">
      <w:pPr>
        <w:rPr>
          <w:lang w:val="en-GB"/>
        </w:rPr>
      </w:pPr>
      <w:r>
        <w:rPr>
          <w:lang w:val="en-GB"/>
        </w:rPr>
        <w:t>D</w:t>
      </w:r>
      <w:r w:rsidR="003D1F10" w:rsidRPr="00020E0A">
        <w:rPr>
          <w:lang w:val="en-GB"/>
        </w:rPr>
        <w:t>octoral candidate</w:t>
      </w:r>
      <w:r>
        <w:rPr>
          <w:lang w:val="en-GB"/>
        </w:rPr>
        <w:t>s</w:t>
      </w:r>
      <w:r w:rsidR="003D1F10" w:rsidRPr="00020E0A">
        <w:rPr>
          <w:lang w:val="en-GB"/>
        </w:rPr>
        <w:t xml:space="preserve"> </w:t>
      </w:r>
      <w:r>
        <w:rPr>
          <w:lang w:val="en-GB"/>
        </w:rPr>
        <w:t>are</w:t>
      </w:r>
      <w:r w:rsidR="003D1F10" w:rsidRPr="00020E0A">
        <w:rPr>
          <w:lang w:val="en-GB"/>
        </w:rPr>
        <w:t xml:space="preserve"> responsible for booking the defence venue </w:t>
      </w:r>
      <w:r>
        <w:rPr>
          <w:lang w:val="en-GB"/>
        </w:rPr>
        <w:t>themselves</w:t>
      </w:r>
      <w:r w:rsidR="003D1F10" w:rsidRPr="00020E0A">
        <w:rPr>
          <w:lang w:val="en-GB"/>
        </w:rPr>
        <w:t xml:space="preserve">, in consultation with the </w:t>
      </w:r>
      <w:r w:rsidR="000908D6">
        <w:rPr>
          <w:lang w:val="en-GB"/>
        </w:rPr>
        <w:t>Centre</w:t>
      </w:r>
      <w:r w:rsidR="003D1F10" w:rsidRPr="00020E0A">
        <w:rPr>
          <w:lang w:val="en-GB"/>
        </w:rPr>
        <w:t xml:space="preserve"> and </w:t>
      </w:r>
      <w:r>
        <w:rPr>
          <w:lang w:val="en-GB"/>
        </w:rPr>
        <w:t xml:space="preserve">their </w:t>
      </w:r>
      <w:r w:rsidR="003D1F10" w:rsidRPr="00020E0A">
        <w:rPr>
          <w:lang w:val="en-GB"/>
        </w:rPr>
        <w:t>supervisors.</w:t>
      </w:r>
    </w:p>
    <w:p w14:paraId="3082F7B5" w14:textId="6B00E1FC" w:rsidR="003D1F10" w:rsidRPr="00020E0A" w:rsidRDefault="003D1F10" w:rsidP="002A3200">
      <w:pPr>
        <w:rPr>
          <w:lang w:val="en-GB"/>
        </w:rPr>
      </w:pPr>
      <w:r w:rsidRPr="00020E0A">
        <w:rPr>
          <w:lang w:val="en-GB"/>
        </w:rPr>
        <w:t xml:space="preserve">The </w:t>
      </w:r>
      <w:r w:rsidR="002469C2" w:rsidRPr="00020E0A">
        <w:rPr>
          <w:lang w:val="en-GB"/>
        </w:rPr>
        <w:t xml:space="preserve">defence </w:t>
      </w:r>
      <w:r w:rsidR="00CB3B02" w:rsidRPr="00020E0A">
        <w:rPr>
          <w:lang w:val="en-GB"/>
        </w:rPr>
        <w:t>must</w:t>
      </w:r>
      <w:r w:rsidR="002469C2" w:rsidRPr="00020E0A">
        <w:rPr>
          <w:lang w:val="en-GB"/>
        </w:rPr>
        <w:t xml:space="preserve"> to be announced at least three weeks ahead of time through digital publication of the submission notice. </w:t>
      </w:r>
      <w:r w:rsidR="00E40ED6" w:rsidRPr="00020E0A">
        <w:rPr>
          <w:lang w:val="en-GB"/>
        </w:rPr>
        <w:t>A shorter period of availability may be granted by the Dean of the faculty</w:t>
      </w:r>
      <w:r w:rsidR="008558FD">
        <w:rPr>
          <w:lang w:val="en-GB"/>
        </w:rPr>
        <w:t>, but</w:t>
      </w:r>
      <w:r w:rsidR="00E40ED6" w:rsidRPr="00020E0A">
        <w:rPr>
          <w:lang w:val="en-GB"/>
        </w:rPr>
        <w:t xml:space="preserve"> only in extraordinary circumstances (cf. UFV 2009/199, </w:t>
      </w:r>
      <w:r w:rsidR="008558FD">
        <w:rPr>
          <w:lang w:val="en-GB"/>
        </w:rPr>
        <w:t xml:space="preserve">RUF </w:t>
      </w:r>
      <w:r w:rsidR="00FF6039">
        <w:rPr>
          <w:lang w:val="en-GB"/>
        </w:rPr>
        <w:t xml:space="preserve">Sec. </w:t>
      </w:r>
      <w:r w:rsidR="00367383">
        <w:rPr>
          <w:lang w:val="en-GB"/>
        </w:rPr>
        <w:t>9</w:t>
      </w:r>
      <w:r w:rsidR="00E40ED6" w:rsidRPr="00020E0A">
        <w:rPr>
          <w:lang w:val="en-GB"/>
        </w:rPr>
        <w:t xml:space="preserve">). The </w:t>
      </w:r>
      <w:r w:rsidR="00A73BE3" w:rsidRPr="00020E0A">
        <w:rPr>
          <w:lang w:val="en-GB"/>
        </w:rPr>
        <w:t>period</w:t>
      </w:r>
      <w:r w:rsidR="00E40ED6" w:rsidRPr="00020E0A">
        <w:rPr>
          <w:lang w:val="en-GB"/>
        </w:rPr>
        <w:t xml:space="preserve"> between 15 June and 15 August may not be included in the period of availability. Submission notice</w:t>
      </w:r>
      <w:r w:rsidR="00367383">
        <w:rPr>
          <w:lang w:val="en-GB"/>
        </w:rPr>
        <w:t xml:space="preserve">s must </w:t>
      </w:r>
      <w:r w:rsidR="00E40ED6" w:rsidRPr="00020E0A">
        <w:rPr>
          <w:lang w:val="en-GB"/>
        </w:rPr>
        <w:t>be published dig</w:t>
      </w:r>
      <w:r w:rsidR="00541BE8" w:rsidRPr="00020E0A">
        <w:rPr>
          <w:lang w:val="en-GB"/>
        </w:rPr>
        <w:t>itally</w:t>
      </w:r>
      <w:r w:rsidR="00E40ED6" w:rsidRPr="00020E0A">
        <w:rPr>
          <w:lang w:val="en-GB"/>
        </w:rPr>
        <w:t>. For compilation theses, the summary chapters must also be published digitally.</w:t>
      </w:r>
    </w:p>
    <w:p w14:paraId="65931A78" w14:textId="05C500D8" w:rsidR="00E40ED6" w:rsidRPr="00020E0A" w:rsidRDefault="00E40ED6" w:rsidP="002A3200">
      <w:pPr>
        <w:rPr>
          <w:lang w:val="en-GB"/>
        </w:rPr>
      </w:pPr>
      <w:r w:rsidRPr="00020E0A">
        <w:rPr>
          <w:lang w:val="en-GB"/>
        </w:rPr>
        <w:t xml:space="preserve">The thesis must be available in the University library for at least three weeks before the public defence </w:t>
      </w:r>
      <w:r w:rsidR="00367383">
        <w:rPr>
          <w:lang w:val="en-GB"/>
        </w:rPr>
        <w:t>in a way that allows for a satisfactory review of the dissertation before the defence</w:t>
      </w:r>
      <w:r w:rsidRPr="00020E0A">
        <w:rPr>
          <w:lang w:val="en-GB"/>
        </w:rPr>
        <w:t xml:space="preserve"> (cf. </w:t>
      </w:r>
      <w:r w:rsidRPr="00367383">
        <w:rPr>
          <w:i/>
          <w:lang w:val="en-GB"/>
        </w:rPr>
        <w:t xml:space="preserve">Guidelines for </w:t>
      </w:r>
      <w:r w:rsidR="00E239CF" w:rsidRPr="00367383">
        <w:rPr>
          <w:i/>
          <w:lang w:val="en-GB"/>
        </w:rPr>
        <w:t xml:space="preserve">Third-Cycle </w:t>
      </w:r>
      <w:r w:rsidRPr="00367383">
        <w:rPr>
          <w:i/>
          <w:lang w:val="en-GB"/>
        </w:rPr>
        <w:t xml:space="preserve">Education </w:t>
      </w:r>
      <w:r w:rsidR="00E239CF" w:rsidRPr="00367383">
        <w:rPr>
          <w:i/>
          <w:lang w:val="en-GB"/>
        </w:rPr>
        <w:t>at</w:t>
      </w:r>
      <w:r w:rsidRPr="00367383">
        <w:rPr>
          <w:i/>
          <w:lang w:val="en-GB"/>
        </w:rPr>
        <w:t xml:space="preserve"> the Faculty of Arts</w:t>
      </w:r>
      <w:r w:rsidRPr="00020E0A">
        <w:rPr>
          <w:lang w:val="en-GB"/>
        </w:rPr>
        <w:t>, HISTFILFAK 20</w:t>
      </w:r>
      <w:r w:rsidR="00367383">
        <w:rPr>
          <w:lang w:val="en-GB"/>
        </w:rPr>
        <w:t>20</w:t>
      </w:r>
      <w:r w:rsidRPr="00020E0A">
        <w:rPr>
          <w:lang w:val="en-GB"/>
        </w:rPr>
        <w:t>/</w:t>
      </w:r>
      <w:r w:rsidR="00367383">
        <w:rPr>
          <w:lang w:val="en-GB"/>
        </w:rPr>
        <w:t>73</w:t>
      </w:r>
      <w:r w:rsidRPr="00020E0A">
        <w:rPr>
          <w:lang w:val="en-GB"/>
        </w:rPr>
        <w:t xml:space="preserve">). Moreover, the </w:t>
      </w:r>
      <w:r w:rsidR="000908D6">
        <w:rPr>
          <w:lang w:val="en-GB"/>
        </w:rPr>
        <w:t>Centre</w:t>
      </w:r>
      <w:r w:rsidRPr="00020E0A">
        <w:rPr>
          <w:lang w:val="en-GB"/>
        </w:rPr>
        <w:t xml:space="preserve"> is responsible for distributing the thesis</w:t>
      </w:r>
      <w:r w:rsidR="00367383">
        <w:rPr>
          <w:lang w:val="en-GB"/>
        </w:rPr>
        <w:t xml:space="preserve"> to the supervisors, the examining committee</w:t>
      </w:r>
      <w:r w:rsidRPr="00020E0A">
        <w:rPr>
          <w:lang w:val="en-GB"/>
        </w:rPr>
        <w:t>, the chair</w:t>
      </w:r>
      <w:r w:rsidR="00347A4C" w:rsidRPr="00020E0A">
        <w:rPr>
          <w:lang w:val="en-GB"/>
        </w:rPr>
        <w:t>person</w:t>
      </w:r>
      <w:r w:rsidRPr="00020E0A">
        <w:rPr>
          <w:lang w:val="en-GB"/>
        </w:rPr>
        <w:t xml:space="preserve"> at the defence</w:t>
      </w:r>
      <w:r w:rsidR="00347A4C" w:rsidRPr="00020E0A">
        <w:rPr>
          <w:lang w:val="en-GB"/>
        </w:rPr>
        <w:t xml:space="preserve">, and </w:t>
      </w:r>
      <w:r w:rsidR="00367383">
        <w:rPr>
          <w:lang w:val="en-GB"/>
        </w:rPr>
        <w:t xml:space="preserve">the </w:t>
      </w:r>
      <w:r w:rsidR="00F40A37">
        <w:rPr>
          <w:lang w:val="en-GB"/>
        </w:rPr>
        <w:t>external reviewer</w:t>
      </w:r>
      <w:r w:rsidR="00347A4C" w:rsidRPr="00020E0A">
        <w:rPr>
          <w:lang w:val="en-GB"/>
        </w:rPr>
        <w:t xml:space="preserve">. </w:t>
      </w:r>
      <w:r w:rsidR="00367383">
        <w:rPr>
          <w:lang w:val="en-GB"/>
        </w:rPr>
        <w:t>The publishing, printing and distribution of the thesis must be carried out in such a way that the study time is not prolonged.</w:t>
      </w:r>
    </w:p>
    <w:p w14:paraId="58D2B0B0" w14:textId="1A62483A" w:rsidR="00CA4683" w:rsidRPr="00020E0A" w:rsidRDefault="00CA4683" w:rsidP="002A3200">
      <w:pPr>
        <w:rPr>
          <w:lang w:val="en-GB"/>
        </w:rPr>
      </w:pPr>
      <w:r w:rsidRPr="00020E0A">
        <w:rPr>
          <w:lang w:val="en-GB"/>
        </w:rPr>
        <w:t>The public defence is headed by a chairperson. There is to be a</w:t>
      </w:r>
      <w:r w:rsidR="00F40A37">
        <w:rPr>
          <w:lang w:val="en-GB"/>
        </w:rPr>
        <w:t>n</w:t>
      </w:r>
      <w:r w:rsidRPr="00020E0A">
        <w:rPr>
          <w:lang w:val="en-GB"/>
        </w:rPr>
        <w:t xml:space="preserve"> </w:t>
      </w:r>
      <w:r w:rsidR="00F40A37">
        <w:rPr>
          <w:lang w:val="en-GB"/>
        </w:rPr>
        <w:t xml:space="preserve">external reviewer </w:t>
      </w:r>
      <w:r w:rsidRPr="00020E0A">
        <w:rPr>
          <w:lang w:val="en-GB"/>
        </w:rPr>
        <w:t xml:space="preserve">(opponent) present at the defence. The Dean of the faculty appoints the chair, </w:t>
      </w:r>
      <w:r w:rsidR="00F40A37">
        <w:rPr>
          <w:lang w:val="en-GB"/>
        </w:rPr>
        <w:t>external reviewer</w:t>
      </w:r>
      <w:r w:rsidR="00367383">
        <w:rPr>
          <w:lang w:val="en-GB"/>
        </w:rPr>
        <w:t xml:space="preserve"> and examining committee</w:t>
      </w:r>
      <w:r w:rsidRPr="00020E0A">
        <w:rPr>
          <w:lang w:val="en-GB"/>
        </w:rPr>
        <w:t xml:space="preserve"> upon sub</w:t>
      </w:r>
      <w:r w:rsidR="00FB7572" w:rsidRPr="00020E0A">
        <w:rPr>
          <w:lang w:val="en-GB"/>
        </w:rPr>
        <w:t>mission of the application form</w:t>
      </w:r>
      <w:r w:rsidR="00541BE8" w:rsidRPr="00020E0A">
        <w:rPr>
          <w:lang w:val="en-GB"/>
        </w:rPr>
        <w:t>,</w:t>
      </w:r>
      <w:r w:rsidRPr="00020E0A">
        <w:rPr>
          <w:lang w:val="en-GB"/>
        </w:rPr>
        <w:t xml:space="preserve"> which can be downloaded from the faculty website. The application form is to be filled in electronically (not by hand) and must be signed by the Director of </w:t>
      </w:r>
      <w:r w:rsidR="000908D6">
        <w:rPr>
          <w:lang w:val="en-GB"/>
        </w:rPr>
        <w:t>PhD Studies</w:t>
      </w:r>
      <w:r w:rsidRPr="00020E0A">
        <w:rPr>
          <w:lang w:val="en-GB"/>
        </w:rPr>
        <w:t xml:space="preserve"> before submission.</w:t>
      </w:r>
    </w:p>
    <w:p w14:paraId="1C82E00B" w14:textId="3B504056" w:rsidR="00367383" w:rsidRDefault="00F40A37" w:rsidP="002A3200">
      <w:pPr>
        <w:rPr>
          <w:szCs w:val="21"/>
          <w:lang w:val="en-GB"/>
        </w:rPr>
      </w:pPr>
      <w:r w:rsidRPr="00020E0A">
        <w:rPr>
          <w:lang w:val="en-GB"/>
        </w:rPr>
        <w:t>Eac</w:t>
      </w:r>
      <w:r>
        <w:rPr>
          <w:lang w:val="en-GB"/>
        </w:rPr>
        <w:t>h doctoral thesis is graded by an e</w:t>
      </w:r>
      <w:r w:rsidR="00FF6039">
        <w:rPr>
          <w:lang w:val="en-GB"/>
        </w:rPr>
        <w:t>xamining</w:t>
      </w:r>
      <w:r>
        <w:rPr>
          <w:lang w:val="en-GB"/>
        </w:rPr>
        <w:t xml:space="preserve"> committee</w:t>
      </w:r>
      <w:r w:rsidRPr="00020E0A">
        <w:rPr>
          <w:lang w:val="en-GB"/>
        </w:rPr>
        <w:t>, who are appointed specifically for each thesis.</w:t>
      </w:r>
      <w:r>
        <w:rPr>
          <w:szCs w:val="21"/>
          <w:lang w:val="en-GB"/>
        </w:rPr>
        <w:t xml:space="preserve"> </w:t>
      </w:r>
      <w:r w:rsidR="00367383" w:rsidRPr="00994E2C">
        <w:rPr>
          <w:szCs w:val="21"/>
          <w:lang w:val="en-GB"/>
        </w:rPr>
        <w:t>The examining committee must c</w:t>
      </w:r>
      <w:r w:rsidR="00367383">
        <w:rPr>
          <w:szCs w:val="21"/>
          <w:lang w:val="en-GB"/>
        </w:rPr>
        <w:t>onsist of three or five members.</w:t>
      </w:r>
      <w:r w:rsidR="00367383" w:rsidRPr="00994E2C">
        <w:rPr>
          <w:szCs w:val="21"/>
          <w:lang w:val="en-GB"/>
        </w:rPr>
        <w:t xml:space="preserve"> In cases where the committee consists of three members, a reserve </w:t>
      </w:r>
      <w:r w:rsidR="005553DA">
        <w:rPr>
          <w:szCs w:val="21"/>
          <w:lang w:val="en-GB"/>
        </w:rPr>
        <w:t xml:space="preserve">member must also </w:t>
      </w:r>
      <w:r w:rsidR="00367383" w:rsidRPr="00994E2C">
        <w:rPr>
          <w:szCs w:val="21"/>
          <w:lang w:val="en-GB"/>
        </w:rPr>
        <w:t>be appointed.</w:t>
      </w:r>
      <w:r w:rsidR="00367383">
        <w:rPr>
          <w:szCs w:val="21"/>
          <w:lang w:val="en-GB"/>
        </w:rPr>
        <w:t xml:space="preserve"> All members of the committee should have attained the rank of associate professor (</w:t>
      </w:r>
      <w:r w:rsidR="00FF6039">
        <w:rPr>
          <w:szCs w:val="21"/>
          <w:lang w:val="en-GB"/>
        </w:rPr>
        <w:t>‘</w:t>
      </w:r>
      <w:r w:rsidR="00367383">
        <w:rPr>
          <w:szCs w:val="21"/>
          <w:lang w:val="en-GB"/>
        </w:rPr>
        <w:t>docent</w:t>
      </w:r>
      <w:r w:rsidR="00FF6039">
        <w:rPr>
          <w:szCs w:val="21"/>
          <w:lang w:val="en-GB"/>
        </w:rPr>
        <w:t>’</w:t>
      </w:r>
      <w:r w:rsidR="00367383">
        <w:rPr>
          <w:szCs w:val="21"/>
          <w:lang w:val="en-GB"/>
        </w:rPr>
        <w:t xml:space="preserve">) or higher. </w:t>
      </w:r>
      <w:r w:rsidR="00367383">
        <w:rPr>
          <w:lang w:val="en-GB"/>
        </w:rPr>
        <w:t xml:space="preserve">Exception from </w:t>
      </w:r>
      <w:r w:rsidR="00367383">
        <w:rPr>
          <w:lang w:val="en-GB"/>
        </w:rPr>
        <w:lastRenderedPageBreak/>
        <w:t xml:space="preserve">the requirement to have attained this rank can be granted by the dean upon request from the department. At least one of the committee members must be from another higher education institute. The majority of the committee members </w:t>
      </w:r>
      <w:r w:rsidR="00367383">
        <w:rPr>
          <w:szCs w:val="21"/>
          <w:lang w:val="en-GB"/>
        </w:rPr>
        <w:t>must be</w:t>
      </w:r>
      <w:r w:rsidR="00367383" w:rsidRPr="00994E2C">
        <w:rPr>
          <w:szCs w:val="21"/>
          <w:lang w:val="en-GB"/>
        </w:rPr>
        <w:t xml:space="preserve"> from outside the department to which the doctoral student belongs. The members of the examining committee must represent different genders. The committee </w:t>
      </w:r>
      <w:r w:rsidR="00FF6039">
        <w:rPr>
          <w:szCs w:val="21"/>
          <w:lang w:val="en-GB"/>
        </w:rPr>
        <w:t>members select a chair among themselves</w:t>
      </w:r>
      <w:r w:rsidR="00367383" w:rsidRPr="00994E2C">
        <w:rPr>
          <w:szCs w:val="21"/>
          <w:lang w:val="en-GB"/>
        </w:rPr>
        <w:t>. The external reviewer has the right to be present at the meeting of the examining committee and to participate in its discussions, but must not be present for decisions. The same applies to the supervisors</w:t>
      </w:r>
      <w:r w:rsidR="00367383">
        <w:rPr>
          <w:szCs w:val="21"/>
          <w:lang w:val="en-GB"/>
        </w:rPr>
        <w:t xml:space="preserve"> and chairperson at the defence</w:t>
      </w:r>
      <w:r w:rsidR="00367383" w:rsidRPr="00994E2C">
        <w:rPr>
          <w:szCs w:val="21"/>
          <w:lang w:val="en-GB"/>
        </w:rPr>
        <w:t xml:space="preserve">. The examining committee is in quorum when all members are present. </w:t>
      </w:r>
    </w:p>
    <w:p w14:paraId="6DF45847" w14:textId="6FCF5EE1" w:rsidR="00337B61" w:rsidRDefault="00E67DFF" w:rsidP="00337B61">
      <w:pPr>
        <w:rPr>
          <w:szCs w:val="21"/>
          <w:lang w:val="en-GB"/>
        </w:rPr>
      </w:pPr>
      <w:r w:rsidRPr="00020E0A">
        <w:rPr>
          <w:lang w:val="en-GB"/>
        </w:rPr>
        <w:t xml:space="preserve">A doctoral thesis is graded as either Pass or Fail. </w:t>
      </w:r>
      <w:r w:rsidR="00F40A37">
        <w:rPr>
          <w:lang w:val="en-GB"/>
        </w:rPr>
        <w:t>When grading, the committee should take the content of the thesis into consideration as well as the defence.</w:t>
      </w:r>
      <w:r w:rsidR="00337B61" w:rsidRPr="00337B61">
        <w:rPr>
          <w:szCs w:val="21"/>
          <w:lang w:val="en-GB"/>
        </w:rPr>
        <w:t xml:space="preserve"> </w:t>
      </w:r>
      <w:r w:rsidR="00337B61" w:rsidRPr="00994E2C">
        <w:rPr>
          <w:szCs w:val="21"/>
          <w:lang w:val="en-GB"/>
        </w:rPr>
        <w:t>The opinion on which the majority agrees is to constitute the committee’s decision.</w:t>
      </w:r>
      <w:r w:rsidR="00337B61">
        <w:rPr>
          <w:szCs w:val="21"/>
          <w:lang w:val="en-GB"/>
        </w:rPr>
        <w:t xml:space="preserve"> </w:t>
      </w:r>
      <w:r w:rsidR="00337B61" w:rsidRPr="00994E2C">
        <w:rPr>
          <w:szCs w:val="21"/>
          <w:lang w:val="en-GB"/>
        </w:rPr>
        <w:t>The committee is to determine whether to give reasons for the decision and whether any dissenting opinions are to be reported</w:t>
      </w:r>
      <w:r w:rsidR="00337B61">
        <w:rPr>
          <w:szCs w:val="21"/>
          <w:lang w:val="en-GB"/>
        </w:rPr>
        <w:t xml:space="preserve"> (RUF Sec. 11).</w:t>
      </w:r>
      <w:r w:rsidR="00337B61" w:rsidRPr="00994E2C">
        <w:rPr>
          <w:szCs w:val="21"/>
          <w:lang w:val="en-GB"/>
        </w:rPr>
        <w:t xml:space="preserve"> </w:t>
      </w:r>
    </w:p>
    <w:p w14:paraId="37F8D6C8" w14:textId="67A757B6" w:rsidR="00337B61" w:rsidRDefault="00337B61" w:rsidP="001C62F5">
      <w:pPr>
        <w:rPr>
          <w:lang w:val="en-GB"/>
        </w:rPr>
      </w:pPr>
      <w:r>
        <w:rPr>
          <w:lang w:val="en-GB"/>
        </w:rPr>
        <w:t>All course work must be completed and graded before the public defence, unless there are specific reaso</w:t>
      </w:r>
      <w:r w:rsidR="001C62F5">
        <w:rPr>
          <w:lang w:val="en-GB"/>
        </w:rPr>
        <w:t xml:space="preserve">ns to disregard this criterion. Applications for exemption from this rule can be submitted to the </w:t>
      </w:r>
      <w:r w:rsidR="0036465B">
        <w:rPr>
          <w:lang w:val="en-GB"/>
        </w:rPr>
        <w:t>D</w:t>
      </w:r>
      <w:r w:rsidR="001C62F5">
        <w:rPr>
          <w:lang w:val="en-GB"/>
        </w:rPr>
        <w:t xml:space="preserve">ean of the faculty together with the application for appointing </w:t>
      </w:r>
      <w:r>
        <w:rPr>
          <w:lang w:val="en-GB"/>
        </w:rPr>
        <w:t xml:space="preserve">an examining committee. </w:t>
      </w:r>
    </w:p>
    <w:p w14:paraId="195A1F05" w14:textId="71D94BFC" w:rsidR="008664B8" w:rsidRPr="00020E0A" w:rsidRDefault="008664B8" w:rsidP="008664B8">
      <w:pPr>
        <w:pStyle w:val="Rubrik3"/>
        <w:rPr>
          <w:lang w:val="en-GB"/>
        </w:rPr>
      </w:pPr>
      <w:bookmarkStart w:id="19" w:name="_Toc81558124"/>
      <w:r w:rsidRPr="00020E0A">
        <w:rPr>
          <w:lang w:val="en-GB"/>
        </w:rPr>
        <w:t>6.3. Licentiate seminar</w:t>
      </w:r>
      <w:bookmarkEnd w:id="19"/>
    </w:p>
    <w:p w14:paraId="18532D9C" w14:textId="4D6E944D" w:rsidR="008664B8" w:rsidRPr="00020E0A" w:rsidRDefault="00337B61" w:rsidP="008664B8">
      <w:pPr>
        <w:rPr>
          <w:lang w:val="en-GB"/>
        </w:rPr>
      </w:pPr>
      <w:r>
        <w:rPr>
          <w:lang w:val="en-GB"/>
        </w:rPr>
        <w:t xml:space="preserve">Decisions regarding the format of licentiate seminars are delegated to the </w:t>
      </w:r>
      <w:r w:rsidR="00FC6834">
        <w:rPr>
          <w:lang w:val="en-GB"/>
        </w:rPr>
        <w:t>Director</w:t>
      </w:r>
      <w:r>
        <w:rPr>
          <w:lang w:val="en-GB"/>
        </w:rPr>
        <w:t xml:space="preserve">. </w:t>
      </w:r>
      <w:r w:rsidR="008664B8" w:rsidRPr="00020E0A">
        <w:rPr>
          <w:lang w:val="en-GB"/>
        </w:rPr>
        <w:t xml:space="preserve">The licentiate thesis is </w:t>
      </w:r>
      <w:r>
        <w:rPr>
          <w:lang w:val="en-GB"/>
        </w:rPr>
        <w:t>appropriately</w:t>
      </w:r>
      <w:r w:rsidR="008664B8" w:rsidRPr="00020E0A">
        <w:rPr>
          <w:lang w:val="en-GB"/>
        </w:rPr>
        <w:t xml:space="preserve"> presented and defended orally at a public seminar. It is graded as either Pass or Fail. When deciding on the grade, the examiners should take both the content of the thesis and the defence into consideration. The </w:t>
      </w:r>
      <w:r w:rsidR="00FC6834">
        <w:rPr>
          <w:lang w:val="en-GB"/>
        </w:rPr>
        <w:t>Director</w:t>
      </w:r>
      <w:r w:rsidR="008664B8" w:rsidRPr="00020E0A">
        <w:rPr>
          <w:lang w:val="en-GB"/>
        </w:rPr>
        <w:t xml:space="preserve"> is responsible for appointing an external </w:t>
      </w:r>
      <w:r>
        <w:rPr>
          <w:lang w:val="en-GB"/>
        </w:rPr>
        <w:t>reviewer (opponent) and an e</w:t>
      </w:r>
      <w:r w:rsidR="00FF6039">
        <w:rPr>
          <w:lang w:val="en-GB"/>
        </w:rPr>
        <w:t>xamining</w:t>
      </w:r>
      <w:r>
        <w:rPr>
          <w:lang w:val="en-GB"/>
        </w:rPr>
        <w:t xml:space="preserve"> committee</w:t>
      </w:r>
      <w:r w:rsidR="008664B8" w:rsidRPr="00020E0A">
        <w:rPr>
          <w:lang w:val="en-GB"/>
        </w:rPr>
        <w:t>/</w:t>
      </w:r>
      <w:r>
        <w:rPr>
          <w:lang w:val="en-GB"/>
        </w:rPr>
        <w:t xml:space="preserve">special </w:t>
      </w:r>
      <w:r w:rsidR="008664B8" w:rsidRPr="00020E0A">
        <w:rPr>
          <w:lang w:val="en-GB"/>
        </w:rPr>
        <w:t xml:space="preserve">examiner. The time and place of the seminar is determined by the </w:t>
      </w:r>
      <w:r w:rsidR="00FC6834">
        <w:rPr>
          <w:lang w:val="en-GB"/>
        </w:rPr>
        <w:t>Director</w:t>
      </w:r>
      <w:r w:rsidR="008664B8" w:rsidRPr="00020E0A">
        <w:rPr>
          <w:lang w:val="en-GB"/>
        </w:rPr>
        <w:t>.</w:t>
      </w:r>
    </w:p>
    <w:p w14:paraId="0CD59E39" w14:textId="21556F7A" w:rsidR="00337B61" w:rsidRDefault="008664B8" w:rsidP="008664B8">
      <w:pPr>
        <w:rPr>
          <w:lang w:val="en-GB"/>
        </w:rPr>
      </w:pPr>
      <w:r w:rsidRPr="00020E0A">
        <w:rPr>
          <w:lang w:val="en-GB"/>
        </w:rPr>
        <w:t xml:space="preserve">The </w:t>
      </w:r>
      <w:r w:rsidR="0036465B">
        <w:rPr>
          <w:lang w:val="en-GB"/>
        </w:rPr>
        <w:t xml:space="preserve">licentiate </w:t>
      </w:r>
      <w:r w:rsidRPr="00020E0A">
        <w:rPr>
          <w:lang w:val="en-GB"/>
        </w:rPr>
        <w:t xml:space="preserve">thesis must be made available at the </w:t>
      </w:r>
      <w:r w:rsidR="00FC6834">
        <w:rPr>
          <w:lang w:val="en-GB"/>
        </w:rPr>
        <w:t>Centre for Gender Research</w:t>
      </w:r>
      <w:r w:rsidRPr="00020E0A">
        <w:rPr>
          <w:lang w:val="en-GB"/>
        </w:rPr>
        <w:t xml:space="preserve"> at least three weeks before the seminar. Information about the thesis should be published at the department for a corresponding amount of time, and be made known </w:t>
      </w:r>
      <w:r w:rsidR="00402D69" w:rsidRPr="00020E0A">
        <w:rPr>
          <w:lang w:val="en-GB"/>
        </w:rPr>
        <w:t xml:space="preserve">nationally </w:t>
      </w:r>
      <w:r w:rsidRPr="00020E0A">
        <w:rPr>
          <w:lang w:val="en-GB"/>
        </w:rPr>
        <w:t>to ot</w:t>
      </w:r>
      <w:r w:rsidR="00402D69" w:rsidRPr="00020E0A">
        <w:rPr>
          <w:lang w:val="en-GB"/>
        </w:rPr>
        <w:t xml:space="preserve">her departments in the same subject. The </w:t>
      </w:r>
      <w:r w:rsidR="00FC6834">
        <w:rPr>
          <w:lang w:val="en-GB"/>
        </w:rPr>
        <w:t>Centre</w:t>
      </w:r>
      <w:r w:rsidR="00402D69" w:rsidRPr="00020E0A">
        <w:rPr>
          <w:lang w:val="en-GB"/>
        </w:rPr>
        <w:t xml:space="preserve"> is responsible for</w:t>
      </w:r>
      <w:r w:rsidR="00F92A97">
        <w:rPr>
          <w:lang w:val="en-GB"/>
        </w:rPr>
        <w:t xml:space="preserve"> archiving</w:t>
      </w:r>
      <w:r w:rsidR="00402D69" w:rsidRPr="00020E0A">
        <w:rPr>
          <w:lang w:val="en-GB"/>
        </w:rPr>
        <w:t xml:space="preserve"> one copy of the thesis</w:t>
      </w:r>
      <w:r w:rsidR="00F92A97">
        <w:rPr>
          <w:lang w:val="en-GB"/>
        </w:rPr>
        <w:t xml:space="preserve"> according to current archival principles</w:t>
      </w:r>
      <w:r w:rsidR="001C62F5">
        <w:rPr>
          <w:lang w:val="en-GB"/>
        </w:rPr>
        <w:t>.</w:t>
      </w:r>
    </w:p>
    <w:p w14:paraId="35F53615" w14:textId="7B05F564" w:rsidR="008664B8" w:rsidRPr="001C62F5" w:rsidRDefault="00337B61" w:rsidP="008664B8">
      <w:pPr>
        <w:rPr>
          <w:lang w:val="en-GB"/>
        </w:rPr>
      </w:pPr>
      <w:r>
        <w:rPr>
          <w:lang w:val="en-GB"/>
        </w:rPr>
        <w:t>All course work must be completed and graded before the public defence, unless there are specific reasons to disregard this criterion</w:t>
      </w:r>
      <w:r w:rsidR="001C62F5">
        <w:rPr>
          <w:lang w:val="en-GB"/>
        </w:rPr>
        <w:t>.</w:t>
      </w:r>
      <w:r w:rsidR="00402D69" w:rsidRPr="00020E0A">
        <w:rPr>
          <w:lang w:val="en-GB"/>
        </w:rPr>
        <w:t xml:space="preserve"> </w:t>
      </w:r>
    </w:p>
    <w:p w14:paraId="42995BFC" w14:textId="5E859148" w:rsidR="00402D69" w:rsidRPr="00020E0A" w:rsidRDefault="00402D69" w:rsidP="00402D69">
      <w:pPr>
        <w:pStyle w:val="Rubrik2"/>
        <w:rPr>
          <w:lang w:val="en-GB"/>
        </w:rPr>
      </w:pPr>
      <w:bookmarkStart w:id="20" w:name="_Toc81558125"/>
      <w:r w:rsidRPr="00020E0A">
        <w:rPr>
          <w:lang w:val="en-GB"/>
        </w:rPr>
        <w:t xml:space="preserve">7. </w:t>
      </w:r>
      <w:r w:rsidR="00016B57" w:rsidRPr="00020E0A">
        <w:rPr>
          <w:lang w:val="en-GB"/>
        </w:rPr>
        <w:t>Degree</w:t>
      </w:r>
      <w:bookmarkEnd w:id="20"/>
    </w:p>
    <w:p w14:paraId="33C3183C" w14:textId="480BCAA1" w:rsidR="00016B57" w:rsidRPr="00020E0A" w:rsidRDefault="00016B57" w:rsidP="00016B57">
      <w:pPr>
        <w:rPr>
          <w:lang w:val="en-GB"/>
        </w:rPr>
      </w:pPr>
      <w:r w:rsidRPr="00020E0A">
        <w:rPr>
          <w:lang w:val="en-GB"/>
        </w:rPr>
        <w:t xml:space="preserve">The degree of Doctor of </w:t>
      </w:r>
      <w:r w:rsidR="00412A4A" w:rsidRPr="00412A4A">
        <w:rPr>
          <w:lang w:val="en-GB"/>
        </w:rPr>
        <w:t>Gender Studies</w:t>
      </w:r>
      <w:r w:rsidRPr="00020E0A">
        <w:rPr>
          <w:lang w:val="en-GB"/>
        </w:rPr>
        <w:t xml:space="preserve"> is awarded upon the doctoral candidate having completed third-cycle education corresponding to 240 academic credits within the subject of </w:t>
      </w:r>
      <w:r w:rsidR="00412A4A" w:rsidRPr="00412A4A">
        <w:rPr>
          <w:lang w:val="en-GB"/>
        </w:rPr>
        <w:t>gender studies</w:t>
      </w:r>
      <w:r w:rsidRPr="00020E0A">
        <w:rPr>
          <w:b/>
          <w:lang w:val="en-GB"/>
        </w:rPr>
        <w:t xml:space="preserve"> </w:t>
      </w:r>
      <w:r w:rsidRPr="00020E0A">
        <w:rPr>
          <w:lang w:val="en-GB"/>
        </w:rPr>
        <w:t>and received a passing grade on the examinations pertaining to said education, as well as having written and successfully defended a doctoral thesis which, having been scrutinised by the examination board, has received a passing grade.</w:t>
      </w:r>
    </w:p>
    <w:p w14:paraId="76DA1F82" w14:textId="01897BC9" w:rsidR="00402D69" w:rsidRPr="00020E0A" w:rsidRDefault="00412A4A" w:rsidP="008664B8">
      <w:pPr>
        <w:rPr>
          <w:lang w:val="en-GB"/>
        </w:rPr>
      </w:pPr>
      <w:r>
        <w:rPr>
          <w:lang w:val="en-GB"/>
        </w:rPr>
        <w:t>A Licentiate</w:t>
      </w:r>
      <w:r w:rsidR="00D43235" w:rsidRPr="00020E0A">
        <w:rPr>
          <w:lang w:val="en-GB"/>
        </w:rPr>
        <w:t xml:space="preserve"> degree is awarded upon the doctoral candidate having completed third-cycle education corresponding to 120 academic credits within the subject of </w:t>
      </w:r>
      <w:r w:rsidRPr="00412A4A">
        <w:rPr>
          <w:lang w:val="en-GB"/>
        </w:rPr>
        <w:t>gender studies</w:t>
      </w:r>
      <w:r w:rsidR="00D43235" w:rsidRPr="00020E0A">
        <w:rPr>
          <w:b/>
          <w:lang w:val="en-GB"/>
        </w:rPr>
        <w:t xml:space="preserve"> </w:t>
      </w:r>
      <w:r w:rsidR="00D43235" w:rsidRPr="00020E0A">
        <w:rPr>
          <w:lang w:val="en-GB"/>
        </w:rPr>
        <w:t>and received a passing grade on the examinations pertaining to said education, as well as having written and successfully defended a licentiate thesis which, having been scrutinised by the examiner, has received a passing grade.</w:t>
      </w:r>
    </w:p>
    <w:p w14:paraId="42EFF361" w14:textId="77777777" w:rsidR="00337B61" w:rsidRDefault="00337B61" w:rsidP="00337B61">
      <w:pPr>
        <w:rPr>
          <w:lang w:val="en-GB"/>
        </w:rPr>
      </w:pPr>
      <w:r>
        <w:rPr>
          <w:lang w:val="en-GB"/>
        </w:rPr>
        <w:t>Doctorate candidates may apply for degree certificates by</w:t>
      </w:r>
      <w:r w:rsidRPr="00994E2C">
        <w:rPr>
          <w:szCs w:val="21"/>
          <w:lang w:val="en-GB"/>
        </w:rPr>
        <w:t xml:space="preserve"> filling in the application form provided by the Student Affairs and Academic Registry Division.</w:t>
      </w:r>
    </w:p>
    <w:p w14:paraId="7F532E90" w14:textId="3DF2946B" w:rsidR="004F5E8C" w:rsidRPr="00020E0A" w:rsidRDefault="004F5E8C" w:rsidP="004F5E8C">
      <w:pPr>
        <w:pStyle w:val="Rubrik2"/>
        <w:rPr>
          <w:lang w:val="en-GB"/>
        </w:rPr>
      </w:pPr>
      <w:bookmarkStart w:id="21" w:name="_Toc81558126"/>
      <w:r w:rsidRPr="00020E0A">
        <w:rPr>
          <w:lang w:val="en-GB"/>
        </w:rPr>
        <w:lastRenderedPageBreak/>
        <w:t xml:space="preserve">8. </w:t>
      </w:r>
      <w:r w:rsidR="00790751" w:rsidRPr="00020E0A">
        <w:rPr>
          <w:lang w:val="en-GB"/>
        </w:rPr>
        <w:t>Adoption</w:t>
      </w:r>
      <w:r w:rsidRPr="00020E0A">
        <w:rPr>
          <w:lang w:val="en-GB"/>
        </w:rPr>
        <w:t xml:space="preserve"> and Transitional Regulations</w:t>
      </w:r>
      <w:bookmarkEnd w:id="21"/>
    </w:p>
    <w:p w14:paraId="42FC7B9F" w14:textId="79D4DD87" w:rsidR="0055680F" w:rsidRPr="00020E0A" w:rsidRDefault="0055680F" w:rsidP="0055680F">
      <w:pPr>
        <w:rPr>
          <w:lang w:val="en-GB"/>
        </w:rPr>
      </w:pPr>
      <w:r w:rsidRPr="00020E0A">
        <w:rPr>
          <w:lang w:val="en-GB"/>
        </w:rPr>
        <w:t xml:space="preserve">This syllabus takes effect on </w:t>
      </w:r>
      <w:r w:rsidR="00412A4A" w:rsidRPr="00412A4A">
        <w:rPr>
          <w:lang w:val="en-GB"/>
        </w:rPr>
        <w:t>25 May 2021</w:t>
      </w:r>
      <w:r w:rsidRPr="00412A4A">
        <w:rPr>
          <w:lang w:val="en-GB"/>
        </w:rPr>
        <w:t xml:space="preserve">. The previous syllabus does not apply to doctoral students admitted to the programme later than </w:t>
      </w:r>
      <w:r w:rsidR="00412A4A" w:rsidRPr="00412A4A">
        <w:rPr>
          <w:lang w:val="en-GB"/>
        </w:rPr>
        <w:t>30 June 2021</w:t>
      </w:r>
      <w:r w:rsidRPr="00412A4A">
        <w:rPr>
          <w:lang w:val="en-GB"/>
        </w:rPr>
        <w:t>.</w:t>
      </w:r>
      <w:r w:rsidRPr="00020E0A">
        <w:rPr>
          <w:lang w:val="en-GB"/>
        </w:rPr>
        <w:t xml:space="preserve"> Doctoral students who were admitted </w:t>
      </w:r>
      <w:r w:rsidR="00790751" w:rsidRPr="00020E0A">
        <w:rPr>
          <w:lang w:val="en-GB"/>
        </w:rPr>
        <w:t xml:space="preserve">to the programme </w:t>
      </w:r>
      <w:r w:rsidRPr="00020E0A">
        <w:rPr>
          <w:lang w:val="en-GB"/>
        </w:rPr>
        <w:t>before this date can choose whether to continue to follow the previous syllabus or move over to the present syllabus.</w:t>
      </w:r>
    </w:p>
    <w:p w14:paraId="7383DC28" w14:textId="6DC86AD8" w:rsidR="00790751" w:rsidRPr="00020E0A" w:rsidRDefault="00790751" w:rsidP="00790751">
      <w:pPr>
        <w:pStyle w:val="Rubrik2"/>
        <w:rPr>
          <w:lang w:val="en-GB"/>
        </w:rPr>
      </w:pPr>
      <w:bookmarkStart w:id="22" w:name="_Toc81558127"/>
      <w:r w:rsidRPr="00020E0A">
        <w:rPr>
          <w:lang w:val="en-GB"/>
        </w:rPr>
        <w:t>9. Additional Regulations and Guidelines</w:t>
      </w:r>
      <w:bookmarkEnd w:id="22"/>
    </w:p>
    <w:p w14:paraId="3CB7CF4A" w14:textId="38F976DC" w:rsidR="00790751" w:rsidRPr="00020E0A" w:rsidRDefault="00790751" w:rsidP="00790751">
      <w:pPr>
        <w:rPr>
          <w:lang w:val="en-GB"/>
        </w:rPr>
      </w:pPr>
      <w:r w:rsidRPr="00020E0A">
        <w:rPr>
          <w:lang w:val="en-GB"/>
        </w:rPr>
        <w:t>Current statutory regulations and existing guidelines regarding third-cycle education can be found in:</w:t>
      </w:r>
    </w:p>
    <w:p w14:paraId="5BE9F218" w14:textId="663ED332" w:rsidR="00790751" w:rsidRPr="00020E0A" w:rsidRDefault="00790751" w:rsidP="00790751">
      <w:pPr>
        <w:pStyle w:val="Liststycke"/>
        <w:numPr>
          <w:ilvl w:val="0"/>
          <w:numId w:val="21"/>
        </w:numPr>
        <w:rPr>
          <w:lang w:val="en-GB"/>
        </w:rPr>
      </w:pPr>
      <w:r w:rsidRPr="00020E0A">
        <w:rPr>
          <w:lang w:val="en-GB"/>
        </w:rPr>
        <w:t>The Higher Education Ordinance, Ch. 5 (Employment of doctoral students), Ch.6 (Courses and study programmes), and Ch. 7 (Admission to courses and study programmes).</w:t>
      </w:r>
    </w:p>
    <w:p w14:paraId="13390E97" w14:textId="3A3B6C8C" w:rsidR="00790751" w:rsidRPr="00020E0A" w:rsidRDefault="00790751" w:rsidP="00790751">
      <w:pPr>
        <w:pStyle w:val="Liststycke"/>
        <w:numPr>
          <w:ilvl w:val="0"/>
          <w:numId w:val="21"/>
        </w:numPr>
        <w:rPr>
          <w:lang w:val="en-GB"/>
        </w:rPr>
      </w:pPr>
      <w:r w:rsidRPr="00020E0A">
        <w:rPr>
          <w:lang w:val="en-GB"/>
        </w:rPr>
        <w:t>Admissions Ordinance for Studies at the Graduate Level Uppsala University (AFUU</w:t>
      </w:r>
      <w:r w:rsidR="00A54B55" w:rsidRPr="00020E0A">
        <w:rPr>
          <w:lang w:val="en-GB"/>
        </w:rPr>
        <w:t>), UFV 2012/2057</w:t>
      </w:r>
      <w:r w:rsidR="00F92A97">
        <w:rPr>
          <w:lang w:val="en-GB"/>
        </w:rPr>
        <w:t>.</w:t>
      </w:r>
    </w:p>
    <w:p w14:paraId="36B41372" w14:textId="77A91510" w:rsidR="00A54B55" w:rsidRPr="00020E0A" w:rsidRDefault="00A54B55" w:rsidP="00790751">
      <w:pPr>
        <w:pStyle w:val="Liststycke"/>
        <w:numPr>
          <w:ilvl w:val="0"/>
          <w:numId w:val="21"/>
        </w:numPr>
        <w:rPr>
          <w:lang w:val="en-GB"/>
        </w:rPr>
      </w:pPr>
      <w:r w:rsidRPr="00020E0A">
        <w:rPr>
          <w:lang w:val="en-GB"/>
        </w:rPr>
        <w:t>Regulations regarding Studies at the Graduate Level at Uppsala University (</w:t>
      </w:r>
      <w:r w:rsidR="00186CF4" w:rsidRPr="00020E0A">
        <w:rPr>
          <w:lang w:val="en-GB"/>
        </w:rPr>
        <w:t>RU</w:t>
      </w:r>
      <w:r w:rsidR="00337B61">
        <w:rPr>
          <w:lang w:val="en-GB"/>
        </w:rPr>
        <w:t>F</w:t>
      </w:r>
      <w:r w:rsidRPr="00020E0A">
        <w:rPr>
          <w:lang w:val="en-GB"/>
        </w:rPr>
        <w:t>), UFV 20</w:t>
      </w:r>
      <w:r w:rsidR="00337B61">
        <w:rPr>
          <w:lang w:val="en-GB"/>
        </w:rPr>
        <w:t>1</w:t>
      </w:r>
      <w:r w:rsidRPr="00020E0A">
        <w:rPr>
          <w:lang w:val="en-GB"/>
        </w:rPr>
        <w:t>9/</w:t>
      </w:r>
      <w:r w:rsidR="00337B61">
        <w:rPr>
          <w:lang w:val="en-GB"/>
        </w:rPr>
        <w:t>641</w:t>
      </w:r>
      <w:r w:rsidR="00F92A97">
        <w:rPr>
          <w:lang w:val="en-GB"/>
        </w:rPr>
        <w:t>.</w:t>
      </w:r>
    </w:p>
    <w:p w14:paraId="0204077F" w14:textId="4CF07D93" w:rsidR="00A54B55" w:rsidRPr="00020E0A" w:rsidRDefault="00A54B55" w:rsidP="00790751">
      <w:pPr>
        <w:pStyle w:val="Liststycke"/>
        <w:numPr>
          <w:ilvl w:val="0"/>
          <w:numId w:val="21"/>
        </w:numPr>
        <w:rPr>
          <w:lang w:val="en-GB"/>
        </w:rPr>
      </w:pPr>
      <w:r w:rsidRPr="00020E0A">
        <w:rPr>
          <w:lang w:val="en-GB"/>
        </w:rPr>
        <w:t xml:space="preserve">Guidelines for </w:t>
      </w:r>
      <w:r w:rsidR="00E239CF" w:rsidRPr="00020E0A">
        <w:rPr>
          <w:lang w:val="en-GB"/>
        </w:rPr>
        <w:t xml:space="preserve">Third-Cycle </w:t>
      </w:r>
      <w:r w:rsidRPr="00020E0A">
        <w:rPr>
          <w:lang w:val="en-GB"/>
        </w:rPr>
        <w:t xml:space="preserve">Education </w:t>
      </w:r>
      <w:r w:rsidR="00E239CF" w:rsidRPr="00020E0A">
        <w:rPr>
          <w:lang w:val="en-GB"/>
        </w:rPr>
        <w:t>at</w:t>
      </w:r>
      <w:r w:rsidRPr="00020E0A">
        <w:rPr>
          <w:lang w:val="en-GB"/>
        </w:rPr>
        <w:t xml:space="preserve"> the Faculty of Arts, HISTFILFAK 20</w:t>
      </w:r>
      <w:r w:rsidR="00337B61">
        <w:rPr>
          <w:lang w:val="en-GB"/>
        </w:rPr>
        <w:t>20</w:t>
      </w:r>
      <w:r w:rsidRPr="00020E0A">
        <w:rPr>
          <w:lang w:val="en-GB"/>
        </w:rPr>
        <w:t>/</w:t>
      </w:r>
      <w:r w:rsidR="00337B61">
        <w:rPr>
          <w:lang w:val="en-GB"/>
        </w:rPr>
        <w:t>73</w:t>
      </w:r>
      <w:r w:rsidRPr="00020E0A">
        <w:rPr>
          <w:lang w:val="en-GB"/>
        </w:rPr>
        <w:t>.</w:t>
      </w:r>
    </w:p>
    <w:p w14:paraId="7750D9EB" w14:textId="77777777" w:rsidR="003A45C4" w:rsidRPr="00020E0A" w:rsidRDefault="003A45C4" w:rsidP="00C53525">
      <w:pPr>
        <w:pStyle w:val="Rubrik3"/>
        <w:rPr>
          <w:lang w:val="en-GB"/>
        </w:rPr>
      </w:pPr>
    </w:p>
    <w:sectPr w:rsidR="003A45C4" w:rsidRPr="00020E0A">
      <w:headerReference w:type="even" r:id="rId11"/>
      <w:headerReference w:type="default" r:id="rId12"/>
      <w:footerReference w:type="default" r:id="rId13"/>
      <w:pgSz w:w="11906" w:h="16838"/>
      <w:pgMar w:top="1418" w:right="1701" w:bottom="1418" w:left="1701" w:header="69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33DBD" w14:textId="77777777" w:rsidR="00161F6F" w:rsidRDefault="00161F6F">
      <w:pPr>
        <w:spacing w:after="0" w:line="240" w:lineRule="auto"/>
      </w:pPr>
      <w:r>
        <w:separator/>
      </w:r>
    </w:p>
  </w:endnote>
  <w:endnote w:type="continuationSeparator" w:id="0">
    <w:p w14:paraId="130A8406" w14:textId="77777777" w:rsidR="00161F6F" w:rsidRDefault="0016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8FEC" w14:textId="12439D00" w:rsidR="00E84CB9" w:rsidRDefault="00E84CB9">
    <w:pPr>
      <w:jc w:val="center"/>
      <w:rPr>
        <w:rStyle w:val="Sidnummer"/>
      </w:rPr>
    </w:pPr>
    <w:r>
      <w:rPr>
        <w:rStyle w:val="Sidnummer"/>
      </w:rPr>
      <w:fldChar w:fldCharType="begin"/>
    </w:r>
    <w:r>
      <w:rPr>
        <w:rStyle w:val="Sidnummer"/>
      </w:rPr>
      <w:instrText xml:space="preserve"> PAGE </w:instrText>
    </w:r>
    <w:r>
      <w:rPr>
        <w:rStyle w:val="Sidnummer"/>
      </w:rPr>
      <w:fldChar w:fldCharType="separate"/>
    </w:r>
    <w:r w:rsidR="003A2FC9">
      <w:rPr>
        <w:rStyle w:val="Sidnummer"/>
        <w:noProof/>
      </w:rPr>
      <w:t>6</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8721" w14:textId="77777777" w:rsidR="00161F6F" w:rsidRDefault="00161F6F">
      <w:pPr>
        <w:spacing w:after="0" w:line="240" w:lineRule="auto"/>
      </w:pPr>
      <w:r>
        <w:separator/>
      </w:r>
    </w:p>
  </w:footnote>
  <w:footnote w:type="continuationSeparator" w:id="0">
    <w:p w14:paraId="2908DD6D" w14:textId="77777777" w:rsidR="00161F6F" w:rsidRDefault="0016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028C" w14:textId="77777777" w:rsidR="00E84CB9" w:rsidRDefault="00E84CB9">
    <w:pPr>
      <w:pStyle w:val="Sidhuvud"/>
      <w:rPr>
        <w:vanish/>
      </w:rPr>
    </w:pPr>
    <w:r>
      <w:rPr>
        <w:vanish/>
      </w:rPr>
      <w:t>O</w:t>
    </w:r>
  </w:p>
  <w:p w14:paraId="36A075C0" w14:textId="77777777" w:rsidR="00E84CB9" w:rsidRDefault="00E84CB9">
    <w:pPr>
      <w:pStyle w:val="Sidhuvud"/>
    </w:pPr>
    <w:r>
      <w:rPr>
        <w:noProof/>
      </w:rPr>
      <w:drawing>
        <wp:anchor distT="0" distB="0" distL="114300" distR="114300" simplePos="0" relativeHeight="251657728" behindDoc="0" locked="0" layoutInCell="1" allowOverlap="1" wp14:anchorId="2D957205" wp14:editId="5943F186">
          <wp:simplePos x="0" y="0"/>
          <wp:positionH relativeFrom="column">
            <wp:posOffset>-723900</wp:posOffset>
          </wp:positionH>
          <wp:positionV relativeFrom="paragraph">
            <wp:posOffset>-254000</wp:posOffset>
          </wp:positionV>
          <wp:extent cx="1511300" cy="1511300"/>
          <wp:effectExtent l="0" t="0" r="0" b="0"/>
          <wp:wrapSquare wrapText="bothSides"/>
          <wp:docPr id="2" name="Bild 2" descr="UU_logo_pc_sv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_logo_pc_sv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vanish/>
        <w:color w:val="0000FF"/>
      </w:rPr>
      <w:t>Om du ska skriva ut på framsida med förtryckt logotyp – dubbelklicka på logotypen och tryck delete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00D3" w14:textId="77777777" w:rsidR="00E84CB9" w:rsidRDefault="00E84C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70" w:type="dxa"/>
      <w:tblLayout w:type="fixed"/>
      <w:tblCellMar>
        <w:left w:w="70" w:type="dxa"/>
        <w:right w:w="70" w:type="dxa"/>
      </w:tblCellMar>
      <w:tblLook w:val="0000" w:firstRow="0" w:lastRow="0" w:firstColumn="0" w:lastColumn="0" w:noHBand="0" w:noVBand="0"/>
    </w:tblPr>
    <w:tblGrid>
      <w:gridCol w:w="4111"/>
      <w:gridCol w:w="2633"/>
      <w:gridCol w:w="1761"/>
    </w:tblGrid>
    <w:tr w:rsidR="00E84CB9" w:rsidRPr="00FC3FC0" w14:paraId="2273744B" w14:textId="77777777">
      <w:tc>
        <w:tcPr>
          <w:tcW w:w="4111" w:type="dxa"/>
        </w:tcPr>
        <w:p w14:paraId="2B7AADF6" w14:textId="73D6E97D" w:rsidR="00E84CB9" w:rsidRDefault="00E84CB9">
          <w:pPr>
            <w:pStyle w:val="Sidhuvud"/>
          </w:pPr>
          <w:r>
            <w:t>UPPSALA UNIVERSITY</w:t>
          </w:r>
        </w:p>
      </w:tc>
      <w:tc>
        <w:tcPr>
          <w:tcW w:w="4394" w:type="dxa"/>
          <w:gridSpan w:val="2"/>
        </w:tcPr>
        <w:p w14:paraId="1C707CE1" w14:textId="0FF820A2" w:rsidR="00E84CB9" w:rsidRPr="00B41D57" w:rsidRDefault="00E84CB9" w:rsidP="00C54BE0">
          <w:pPr>
            <w:pStyle w:val="Sidhuvud"/>
            <w:rPr>
              <w:lang w:val="en-US"/>
            </w:rPr>
          </w:pPr>
          <w:r w:rsidRPr="00B41D57">
            <w:rPr>
              <w:lang w:val="en-US"/>
            </w:rPr>
            <w:t xml:space="preserve">General Study </w:t>
          </w:r>
          <w:r>
            <w:rPr>
              <w:lang w:val="en-US"/>
            </w:rPr>
            <w:t>Syllabus</w:t>
          </w:r>
          <w:r w:rsidRPr="00B41D57">
            <w:rPr>
              <w:lang w:val="en-US"/>
            </w:rPr>
            <w:t xml:space="preserve"> </w:t>
          </w:r>
          <w:r>
            <w:rPr>
              <w:lang w:val="en-US"/>
            </w:rPr>
            <w:t>in Gender Studies</w:t>
          </w:r>
          <w:r w:rsidRPr="00B41D57">
            <w:rPr>
              <w:vanish/>
              <w:color w:val="0000FF"/>
              <w:lang w:val="en-US"/>
            </w:rPr>
            <w:t>OBS! Dokumentnamn/Titel skrivs ALLTID med VERSALER</w:t>
          </w:r>
        </w:p>
      </w:tc>
    </w:tr>
    <w:tr w:rsidR="00E84CB9" w:rsidRPr="00FC3FC0" w14:paraId="0D464FC5" w14:textId="77777777">
      <w:tc>
        <w:tcPr>
          <w:tcW w:w="4111" w:type="dxa"/>
        </w:tcPr>
        <w:p w14:paraId="42412FB2" w14:textId="77777777" w:rsidR="00E84CB9" w:rsidRPr="00B41D57" w:rsidRDefault="00E84CB9">
          <w:pPr>
            <w:pStyle w:val="Sidhuvud"/>
            <w:rPr>
              <w:lang w:val="en-US"/>
            </w:rPr>
          </w:pPr>
        </w:p>
      </w:tc>
      <w:tc>
        <w:tcPr>
          <w:tcW w:w="4394" w:type="dxa"/>
          <w:gridSpan w:val="2"/>
        </w:tcPr>
        <w:p w14:paraId="59CFA052" w14:textId="77777777" w:rsidR="00E84CB9" w:rsidRPr="00B41D57" w:rsidRDefault="00E84CB9">
          <w:pPr>
            <w:pStyle w:val="Sidhuvud"/>
            <w:rPr>
              <w:lang w:val="en-US"/>
            </w:rPr>
          </w:pPr>
        </w:p>
      </w:tc>
    </w:tr>
    <w:tr w:rsidR="00E84CB9" w14:paraId="4A4F95EB" w14:textId="77777777">
      <w:tc>
        <w:tcPr>
          <w:tcW w:w="4111" w:type="dxa"/>
          <w:tcBorders>
            <w:bottom w:val="single" w:sz="4" w:space="0" w:color="auto"/>
          </w:tcBorders>
        </w:tcPr>
        <w:p w14:paraId="5D6EF435" w14:textId="77777777" w:rsidR="00E84CB9" w:rsidRPr="00B41D57" w:rsidRDefault="00E84CB9">
          <w:pPr>
            <w:pStyle w:val="Sidhuvud"/>
            <w:rPr>
              <w:lang w:val="en-US"/>
            </w:rPr>
          </w:pPr>
        </w:p>
      </w:tc>
      <w:tc>
        <w:tcPr>
          <w:tcW w:w="2633" w:type="dxa"/>
          <w:tcBorders>
            <w:bottom w:val="single" w:sz="4" w:space="0" w:color="auto"/>
          </w:tcBorders>
        </w:tcPr>
        <w:p w14:paraId="049B8593" w14:textId="74315C1A" w:rsidR="00E84CB9" w:rsidRDefault="00E84CB9">
          <w:pPr>
            <w:pStyle w:val="Sidhuvud"/>
          </w:pPr>
          <w:r>
            <w:t>25 May 2021</w:t>
          </w:r>
        </w:p>
      </w:tc>
      <w:tc>
        <w:tcPr>
          <w:tcW w:w="1761" w:type="dxa"/>
          <w:tcBorders>
            <w:bottom w:val="single" w:sz="4" w:space="0" w:color="auto"/>
          </w:tcBorders>
        </w:tcPr>
        <w:p w14:paraId="5D601697" w14:textId="4699467D" w:rsidR="00E84CB9" w:rsidRDefault="00E84CB9">
          <w:pPr>
            <w:pStyle w:val="Sidhuvud"/>
          </w:pPr>
          <w:r>
            <w:t>HISTFILFAK 2021/45</w:t>
          </w:r>
        </w:p>
      </w:tc>
    </w:tr>
  </w:tbl>
  <w:p w14:paraId="6A3723E6" w14:textId="77777777" w:rsidR="00E84CB9" w:rsidRDefault="00E84CB9"/>
  <w:p w14:paraId="60690BFD" w14:textId="77777777" w:rsidR="00E84CB9" w:rsidRDefault="00E84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5AAD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729D4"/>
    <w:multiLevelType w:val="hybridMultilevel"/>
    <w:tmpl w:val="25EC10A2"/>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F07030"/>
    <w:multiLevelType w:val="hybridMultilevel"/>
    <w:tmpl w:val="0FDE11D2"/>
    <w:lvl w:ilvl="0" w:tplc="6F0CBF5E">
      <w:start w:val="1"/>
      <w:numFmt w:val="bullet"/>
      <w:pStyle w:val="Punktlista"/>
      <w:lvlText w:val=""/>
      <w:lvlJc w:val="left"/>
      <w:pPr>
        <w:tabs>
          <w:tab w:val="num" w:pos="360"/>
        </w:tabs>
        <w:ind w:left="340" w:hanging="340"/>
      </w:pPr>
      <w:rPr>
        <w:rFonts w:ascii="Symbol" w:hAnsi="Symbol" w:hint="default"/>
      </w:rPr>
    </w:lvl>
    <w:lvl w:ilvl="1" w:tplc="05A6F6E0" w:tentative="1">
      <w:start w:val="1"/>
      <w:numFmt w:val="bullet"/>
      <w:lvlText w:val="o"/>
      <w:lvlJc w:val="left"/>
      <w:pPr>
        <w:tabs>
          <w:tab w:val="num" w:pos="1440"/>
        </w:tabs>
        <w:ind w:left="1440" w:hanging="360"/>
      </w:pPr>
      <w:rPr>
        <w:rFonts w:ascii="Courier New" w:hAnsi="Courier New" w:hint="default"/>
      </w:rPr>
    </w:lvl>
    <w:lvl w:ilvl="2" w:tplc="AA64433A" w:tentative="1">
      <w:start w:val="1"/>
      <w:numFmt w:val="bullet"/>
      <w:lvlText w:val=""/>
      <w:lvlJc w:val="left"/>
      <w:pPr>
        <w:tabs>
          <w:tab w:val="num" w:pos="2160"/>
        </w:tabs>
        <w:ind w:left="2160" w:hanging="360"/>
      </w:pPr>
      <w:rPr>
        <w:rFonts w:ascii="Wingdings" w:hAnsi="Wingdings" w:hint="default"/>
      </w:rPr>
    </w:lvl>
    <w:lvl w:ilvl="3" w:tplc="6A0A5D1C" w:tentative="1">
      <w:start w:val="1"/>
      <w:numFmt w:val="bullet"/>
      <w:lvlText w:val=""/>
      <w:lvlJc w:val="left"/>
      <w:pPr>
        <w:tabs>
          <w:tab w:val="num" w:pos="2880"/>
        </w:tabs>
        <w:ind w:left="2880" w:hanging="360"/>
      </w:pPr>
      <w:rPr>
        <w:rFonts w:ascii="Symbol" w:hAnsi="Symbol" w:hint="default"/>
      </w:rPr>
    </w:lvl>
    <w:lvl w:ilvl="4" w:tplc="8C0C4A92" w:tentative="1">
      <w:start w:val="1"/>
      <w:numFmt w:val="bullet"/>
      <w:lvlText w:val="o"/>
      <w:lvlJc w:val="left"/>
      <w:pPr>
        <w:tabs>
          <w:tab w:val="num" w:pos="3600"/>
        </w:tabs>
        <w:ind w:left="3600" w:hanging="360"/>
      </w:pPr>
      <w:rPr>
        <w:rFonts w:ascii="Courier New" w:hAnsi="Courier New" w:hint="default"/>
      </w:rPr>
    </w:lvl>
    <w:lvl w:ilvl="5" w:tplc="1CEA8520" w:tentative="1">
      <w:start w:val="1"/>
      <w:numFmt w:val="bullet"/>
      <w:lvlText w:val=""/>
      <w:lvlJc w:val="left"/>
      <w:pPr>
        <w:tabs>
          <w:tab w:val="num" w:pos="4320"/>
        </w:tabs>
        <w:ind w:left="4320" w:hanging="360"/>
      </w:pPr>
      <w:rPr>
        <w:rFonts w:ascii="Wingdings" w:hAnsi="Wingdings" w:hint="default"/>
      </w:rPr>
    </w:lvl>
    <w:lvl w:ilvl="6" w:tplc="B29ECBAC" w:tentative="1">
      <w:start w:val="1"/>
      <w:numFmt w:val="bullet"/>
      <w:lvlText w:val=""/>
      <w:lvlJc w:val="left"/>
      <w:pPr>
        <w:tabs>
          <w:tab w:val="num" w:pos="5040"/>
        </w:tabs>
        <w:ind w:left="5040" w:hanging="360"/>
      </w:pPr>
      <w:rPr>
        <w:rFonts w:ascii="Symbol" w:hAnsi="Symbol" w:hint="default"/>
      </w:rPr>
    </w:lvl>
    <w:lvl w:ilvl="7" w:tplc="2C9007AC" w:tentative="1">
      <w:start w:val="1"/>
      <w:numFmt w:val="bullet"/>
      <w:lvlText w:val="o"/>
      <w:lvlJc w:val="left"/>
      <w:pPr>
        <w:tabs>
          <w:tab w:val="num" w:pos="5760"/>
        </w:tabs>
        <w:ind w:left="5760" w:hanging="360"/>
      </w:pPr>
      <w:rPr>
        <w:rFonts w:ascii="Courier New" w:hAnsi="Courier New" w:hint="default"/>
      </w:rPr>
    </w:lvl>
    <w:lvl w:ilvl="8" w:tplc="A664B4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F3132"/>
    <w:multiLevelType w:val="hybridMultilevel"/>
    <w:tmpl w:val="96D6F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F736C0"/>
    <w:multiLevelType w:val="hybridMultilevel"/>
    <w:tmpl w:val="48EE3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360EF9"/>
    <w:multiLevelType w:val="hybridMultilevel"/>
    <w:tmpl w:val="327C0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74563B"/>
    <w:multiLevelType w:val="hybridMultilevel"/>
    <w:tmpl w:val="B6660D8C"/>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8B4839"/>
    <w:multiLevelType w:val="hybridMultilevel"/>
    <w:tmpl w:val="02C0C7DE"/>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E554E9"/>
    <w:multiLevelType w:val="hybridMultilevel"/>
    <w:tmpl w:val="9196B58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CB074A"/>
    <w:multiLevelType w:val="multilevel"/>
    <w:tmpl w:val="8BFE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E2315"/>
    <w:multiLevelType w:val="hybridMultilevel"/>
    <w:tmpl w:val="5F40710E"/>
    <w:lvl w:ilvl="0" w:tplc="44FE597C">
      <w:numFmt w:val="bullet"/>
      <w:lvlText w:val="•"/>
      <w:lvlJc w:val="left"/>
      <w:pPr>
        <w:ind w:left="420" w:hanging="360"/>
      </w:pPr>
      <w:rPr>
        <w:rFonts w:ascii="Times New Roman" w:eastAsia="Times"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1" w15:restartNumberingAfterBreak="0">
    <w:nsid w:val="539B232F"/>
    <w:multiLevelType w:val="hybridMultilevel"/>
    <w:tmpl w:val="19D2DA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4034FD6"/>
    <w:multiLevelType w:val="multilevel"/>
    <w:tmpl w:val="2A0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0372F"/>
    <w:multiLevelType w:val="hybridMultilevel"/>
    <w:tmpl w:val="8DB4A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406EC7"/>
    <w:multiLevelType w:val="hybridMultilevel"/>
    <w:tmpl w:val="278CA0BA"/>
    <w:lvl w:ilvl="0" w:tplc="E94A740E">
      <w:start w:val="1"/>
      <w:numFmt w:val="bullet"/>
      <w:pStyle w:val="Strecklista"/>
      <w:lvlText w:val=""/>
      <w:lvlJc w:val="left"/>
      <w:pPr>
        <w:tabs>
          <w:tab w:val="num" w:pos="360"/>
        </w:tabs>
        <w:ind w:left="357" w:hanging="357"/>
      </w:pPr>
      <w:rPr>
        <w:rFonts w:ascii="Symbol" w:hAnsi="Symbol" w:hint="default"/>
      </w:rPr>
    </w:lvl>
    <w:lvl w:ilvl="1" w:tplc="BF7A320C" w:tentative="1">
      <w:start w:val="1"/>
      <w:numFmt w:val="bullet"/>
      <w:lvlText w:val="o"/>
      <w:lvlJc w:val="left"/>
      <w:pPr>
        <w:tabs>
          <w:tab w:val="num" w:pos="1440"/>
        </w:tabs>
        <w:ind w:left="1440" w:hanging="360"/>
      </w:pPr>
      <w:rPr>
        <w:rFonts w:ascii="Courier New" w:hAnsi="Courier New" w:hint="default"/>
      </w:rPr>
    </w:lvl>
    <w:lvl w:ilvl="2" w:tplc="3C2E02A0" w:tentative="1">
      <w:start w:val="1"/>
      <w:numFmt w:val="bullet"/>
      <w:lvlText w:val=""/>
      <w:lvlJc w:val="left"/>
      <w:pPr>
        <w:tabs>
          <w:tab w:val="num" w:pos="2160"/>
        </w:tabs>
        <w:ind w:left="2160" w:hanging="360"/>
      </w:pPr>
      <w:rPr>
        <w:rFonts w:ascii="Wingdings" w:hAnsi="Wingdings" w:hint="default"/>
      </w:rPr>
    </w:lvl>
    <w:lvl w:ilvl="3" w:tplc="266A2718" w:tentative="1">
      <w:start w:val="1"/>
      <w:numFmt w:val="bullet"/>
      <w:lvlText w:val=""/>
      <w:lvlJc w:val="left"/>
      <w:pPr>
        <w:tabs>
          <w:tab w:val="num" w:pos="2880"/>
        </w:tabs>
        <w:ind w:left="2880" w:hanging="360"/>
      </w:pPr>
      <w:rPr>
        <w:rFonts w:ascii="Symbol" w:hAnsi="Symbol" w:hint="default"/>
      </w:rPr>
    </w:lvl>
    <w:lvl w:ilvl="4" w:tplc="143CA3DE" w:tentative="1">
      <w:start w:val="1"/>
      <w:numFmt w:val="bullet"/>
      <w:lvlText w:val="o"/>
      <w:lvlJc w:val="left"/>
      <w:pPr>
        <w:tabs>
          <w:tab w:val="num" w:pos="3600"/>
        </w:tabs>
        <w:ind w:left="3600" w:hanging="360"/>
      </w:pPr>
      <w:rPr>
        <w:rFonts w:ascii="Courier New" w:hAnsi="Courier New" w:hint="default"/>
      </w:rPr>
    </w:lvl>
    <w:lvl w:ilvl="5" w:tplc="1902EA5A" w:tentative="1">
      <w:start w:val="1"/>
      <w:numFmt w:val="bullet"/>
      <w:lvlText w:val=""/>
      <w:lvlJc w:val="left"/>
      <w:pPr>
        <w:tabs>
          <w:tab w:val="num" w:pos="4320"/>
        </w:tabs>
        <w:ind w:left="4320" w:hanging="360"/>
      </w:pPr>
      <w:rPr>
        <w:rFonts w:ascii="Wingdings" w:hAnsi="Wingdings" w:hint="default"/>
      </w:rPr>
    </w:lvl>
    <w:lvl w:ilvl="6" w:tplc="41DE6E1E" w:tentative="1">
      <w:start w:val="1"/>
      <w:numFmt w:val="bullet"/>
      <w:lvlText w:val=""/>
      <w:lvlJc w:val="left"/>
      <w:pPr>
        <w:tabs>
          <w:tab w:val="num" w:pos="5040"/>
        </w:tabs>
        <w:ind w:left="5040" w:hanging="360"/>
      </w:pPr>
      <w:rPr>
        <w:rFonts w:ascii="Symbol" w:hAnsi="Symbol" w:hint="default"/>
      </w:rPr>
    </w:lvl>
    <w:lvl w:ilvl="7" w:tplc="EDF43DFC" w:tentative="1">
      <w:start w:val="1"/>
      <w:numFmt w:val="bullet"/>
      <w:lvlText w:val="o"/>
      <w:lvlJc w:val="left"/>
      <w:pPr>
        <w:tabs>
          <w:tab w:val="num" w:pos="5760"/>
        </w:tabs>
        <w:ind w:left="5760" w:hanging="360"/>
      </w:pPr>
      <w:rPr>
        <w:rFonts w:ascii="Courier New" w:hAnsi="Courier New" w:hint="default"/>
      </w:rPr>
    </w:lvl>
    <w:lvl w:ilvl="8" w:tplc="3C9237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545091"/>
    <w:multiLevelType w:val="hybridMultilevel"/>
    <w:tmpl w:val="27544A2E"/>
    <w:lvl w:ilvl="0" w:tplc="9FA4E21C">
      <w:start w:val="1"/>
      <w:numFmt w:val="bullet"/>
      <w:lvlText w:val=""/>
      <w:lvlJc w:val="left"/>
      <w:pPr>
        <w:tabs>
          <w:tab w:val="num" w:pos="360"/>
        </w:tabs>
        <w:ind w:left="340" w:hanging="340"/>
      </w:pPr>
      <w:rPr>
        <w:rFonts w:ascii="Symbol" w:hAnsi="Symbol" w:hint="default"/>
      </w:rPr>
    </w:lvl>
    <w:lvl w:ilvl="1" w:tplc="EEDC2378" w:tentative="1">
      <w:start w:val="1"/>
      <w:numFmt w:val="bullet"/>
      <w:lvlText w:val="o"/>
      <w:lvlJc w:val="left"/>
      <w:pPr>
        <w:tabs>
          <w:tab w:val="num" w:pos="1440"/>
        </w:tabs>
        <w:ind w:left="1440" w:hanging="360"/>
      </w:pPr>
      <w:rPr>
        <w:rFonts w:ascii="Courier New" w:hAnsi="Courier New" w:hint="default"/>
      </w:rPr>
    </w:lvl>
    <w:lvl w:ilvl="2" w:tplc="3654A0B6" w:tentative="1">
      <w:start w:val="1"/>
      <w:numFmt w:val="bullet"/>
      <w:lvlText w:val=""/>
      <w:lvlJc w:val="left"/>
      <w:pPr>
        <w:tabs>
          <w:tab w:val="num" w:pos="2160"/>
        </w:tabs>
        <w:ind w:left="2160" w:hanging="360"/>
      </w:pPr>
      <w:rPr>
        <w:rFonts w:ascii="Wingdings" w:hAnsi="Wingdings" w:hint="default"/>
      </w:rPr>
    </w:lvl>
    <w:lvl w:ilvl="3" w:tplc="D06A308E" w:tentative="1">
      <w:start w:val="1"/>
      <w:numFmt w:val="bullet"/>
      <w:lvlText w:val=""/>
      <w:lvlJc w:val="left"/>
      <w:pPr>
        <w:tabs>
          <w:tab w:val="num" w:pos="2880"/>
        </w:tabs>
        <w:ind w:left="2880" w:hanging="360"/>
      </w:pPr>
      <w:rPr>
        <w:rFonts w:ascii="Symbol" w:hAnsi="Symbol" w:hint="default"/>
      </w:rPr>
    </w:lvl>
    <w:lvl w:ilvl="4" w:tplc="0EAC4862" w:tentative="1">
      <w:start w:val="1"/>
      <w:numFmt w:val="bullet"/>
      <w:lvlText w:val="o"/>
      <w:lvlJc w:val="left"/>
      <w:pPr>
        <w:tabs>
          <w:tab w:val="num" w:pos="3600"/>
        </w:tabs>
        <w:ind w:left="3600" w:hanging="360"/>
      </w:pPr>
      <w:rPr>
        <w:rFonts w:ascii="Courier New" w:hAnsi="Courier New" w:hint="default"/>
      </w:rPr>
    </w:lvl>
    <w:lvl w:ilvl="5" w:tplc="6DA00C74" w:tentative="1">
      <w:start w:val="1"/>
      <w:numFmt w:val="bullet"/>
      <w:lvlText w:val=""/>
      <w:lvlJc w:val="left"/>
      <w:pPr>
        <w:tabs>
          <w:tab w:val="num" w:pos="4320"/>
        </w:tabs>
        <w:ind w:left="4320" w:hanging="360"/>
      </w:pPr>
      <w:rPr>
        <w:rFonts w:ascii="Wingdings" w:hAnsi="Wingdings" w:hint="default"/>
      </w:rPr>
    </w:lvl>
    <w:lvl w:ilvl="6" w:tplc="FA60EA54" w:tentative="1">
      <w:start w:val="1"/>
      <w:numFmt w:val="bullet"/>
      <w:lvlText w:val=""/>
      <w:lvlJc w:val="left"/>
      <w:pPr>
        <w:tabs>
          <w:tab w:val="num" w:pos="5040"/>
        </w:tabs>
        <w:ind w:left="5040" w:hanging="360"/>
      </w:pPr>
      <w:rPr>
        <w:rFonts w:ascii="Symbol" w:hAnsi="Symbol" w:hint="default"/>
      </w:rPr>
    </w:lvl>
    <w:lvl w:ilvl="7" w:tplc="358A6FDE" w:tentative="1">
      <w:start w:val="1"/>
      <w:numFmt w:val="bullet"/>
      <w:lvlText w:val="o"/>
      <w:lvlJc w:val="left"/>
      <w:pPr>
        <w:tabs>
          <w:tab w:val="num" w:pos="5760"/>
        </w:tabs>
        <w:ind w:left="5760" w:hanging="360"/>
      </w:pPr>
      <w:rPr>
        <w:rFonts w:ascii="Courier New" w:hAnsi="Courier New" w:hint="default"/>
      </w:rPr>
    </w:lvl>
    <w:lvl w:ilvl="8" w:tplc="147ADC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3329F"/>
    <w:multiLevelType w:val="hybridMultilevel"/>
    <w:tmpl w:val="5BAEA8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6A51340"/>
    <w:multiLevelType w:val="multilevel"/>
    <w:tmpl w:val="7CA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E650AA"/>
    <w:multiLevelType w:val="hybridMultilevel"/>
    <w:tmpl w:val="8D20A7F4"/>
    <w:lvl w:ilvl="0" w:tplc="7D3E319A">
      <w:start w:val="1"/>
      <w:numFmt w:val="decimal"/>
      <w:pStyle w:val="Nummerlista"/>
      <w:lvlText w:val="%1."/>
      <w:lvlJc w:val="left"/>
      <w:pPr>
        <w:tabs>
          <w:tab w:val="num" w:pos="360"/>
        </w:tabs>
        <w:ind w:left="340" w:hanging="340"/>
      </w:pPr>
      <w:rPr>
        <w:rFonts w:hint="default"/>
      </w:rPr>
    </w:lvl>
    <w:lvl w:ilvl="1" w:tplc="29E6C036" w:tentative="1">
      <w:start w:val="1"/>
      <w:numFmt w:val="lowerLetter"/>
      <w:lvlText w:val="%2."/>
      <w:lvlJc w:val="left"/>
      <w:pPr>
        <w:tabs>
          <w:tab w:val="num" w:pos="1440"/>
        </w:tabs>
        <w:ind w:left="1440" w:hanging="360"/>
      </w:pPr>
    </w:lvl>
    <w:lvl w:ilvl="2" w:tplc="7812B5B4" w:tentative="1">
      <w:start w:val="1"/>
      <w:numFmt w:val="lowerRoman"/>
      <w:lvlText w:val="%3."/>
      <w:lvlJc w:val="right"/>
      <w:pPr>
        <w:tabs>
          <w:tab w:val="num" w:pos="2160"/>
        </w:tabs>
        <w:ind w:left="2160" w:hanging="180"/>
      </w:pPr>
    </w:lvl>
    <w:lvl w:ilvl="3" w:tplc="2F647E04" w:tentative="1">
      <w:start w:val="1"/>
      <w:numFmt w:val="decimal"/>
      <w:lvlText w:val="%4."/>
      <w:lvlJc w:val="left"/>
      <w:pPr>
        <w:tabs>
          <w:tab w:val="num" w:pos="2880"/>
        </w:tabs>
        <w:ind w:left="2880" w:hanging="360"/>
      </w:pPr>
    </w:lvl>
    <w:lvl w:ilvl="4" w:tplc="06D47082" w:tentative="1">
      <w:start w:val="1"/>
      <w:numFmt w:val="lowerLetter"/>
      <w:lvlText w:val="%5."/>
      <w:lvlJc w:val="left"/>
      <w:pPr>
        <w:tabs>
          <w:tab w:val="num" w:pos="3600"/>
        </w:tabs>
        <w:ind w:left="3600" w:hanging="360"/>
      </w:pPr>
    </w:lvl>
    <w:lvl w:ilvl="5" w:tplc="952A0634" w:tentative="1">
      <w:start w:val="1"/>
      <w:numFmt w:val="lowerRoman"/>
      <w:lvlText w:val="%6."/>
      <w:lvlJc w:val="right"/>
      <w:pPr>
        <w:tabs>
          <w:tab w:val="num" w:pos="4320"/>
        </w:tabs>
        <w:ind w:left="4320" w:hanging="180"/>
      </w:pPr>
    </w:lvl>
    <w:lvl w:ilvl="6" w:tplc="7CB00D0C" w:tentative="1">
      <w:start w:val="1"/>
      <w:numFmt w:val="decimal"/>
      <w:lvlText w:val="%7."/>
      <w:lvlJc w:val="left"/>
      <w:pPr>
        <w:tabs>
          <w:tab w:val="num" w:pos="5040"/>
        </w:tabs>
        <w:ind w:left="5040" w:hanging="360"/>
      </w:pPr>
    </w:lvl>
    <w:lvl w:ilvl="7" w:tplc="E634F170" w:tentative="1">
      <w:start w:val="1"/>
      <w:numFmt w:val="lowerLetter"/>
      <w:lvlText w:val="%8."/>
      <w:lvlJc w:val="left"/>
      <w:pPr>
        <w:tabs>
          <w:tab w:val="num" w:pos="5760"/>
        </w:tabs>
        <w:ind w:left="5760" w:hanging="360"/>
      </w:pPr>
    </w:lvl>
    <w:lvl w:ilvl="8" w:tplc="E9FACCD0" w:tentative="1">
      <w:start w:val="1"/>
      <w:numFmt w:val="lowerRoman"/>
      <w:lvlText w:val="%9."/>
      <w:lvlJc w:val="right"/>
      <w:pPr>
        <w:tabs>
          <w:tab w:val="num" w:pos="6480"/>
        </w:tabs>
        <w:ind w:left="6480" w:hanging="180"/>
      </w:pPr>
    </w:lvl>
  </w:abstractNum>
  <w:abstractNum w:abstractNumId="19" w15:restartNumberingAfterBreak="0">
    <w:nsid w:val="6B847507"/>
    <w:multiLevelType w:val="hybridMultilevel"/>
    <w:tmpl w:val="CF1E313E"/>
    <w:lvl w:ilvl="0" w:tplc="4244B42C">
      <w:start w:val="1"/>
      <w:numFmt w:val="bullet"/>
      <w:lvlText w:val=""/>
      <w:lvlJc w:val="left"/>
      <w:pPr>
        <w:tabs>
          <w:tab w:val="num" w:pos="720"/>
        </w:tabs>
        <w:ind w:left="720" w:hanging="360"/>
      </w:pPr>
      <w:rPr>
        <w:rFonts w:ascii="Symbol" w:hAnsi="Symbol" w:hint="default"/>
      </w:rPr>
    </w:lvl>
    <w:lvl w:ilvl="1" w:tplc="A6523972" w:tentative="1">
      <w:start w:val="1"/>
      <w:numFmt w:val="bullet"/>
      <w:lvlText w:val="o"/>
      <w:lvlJc w:val="left"/>
      <w:pPr>
        <w:tabs>
          <w:tab w:val="num" w:pos="1440"/>
        </w:tabs>
        <w:ind w:left="1440" w:hanging="360"/>
      </w:pPr>
      <w:rPr>
        <w:rFonts w:ascii="Courier" w:hAnsi="Courier" w:hint="default"/>
      </w:rPr>
    </w:lvl>
    <w:lvl w:ilvl="2" w:tplc="4A2A843C" w:tentative="1">
      <w:start w:val="1"/>
      <w:numFmt w:val="bullet"/>
      <w:lvlText w:val=""/>
      <w:lvlJc w:val="left"/>
      <w:pPr>
        <w:tabs>
          <w:tab w:val="num" w:pos="2160"/>
        </w:tabs>
        <w:ind w:left="2160" w:hanging="360"/>
      </w:pPr>
      <w:rPr>
        <w:rFonts w:ascii="Wingdings" w:hAnsi="Wingdings" w:hint="default"/>
      </w:rPr>
    </w:lvl>
    <w:lvl w:ilvl="3" w:tplc="64884C36" w:tentative="1">
      <w:start w:val="1"/>
      <w:numFmt w:val="bullet"/>
      <w:lvlText w:val=""/>
      <w:lvlJc w:val="left"/>
      <w:pPr>
        <w:tabs>
          <w:tab w:val="num" w:pos="2880"/>
        </w:tabs>
        <w:ind w:left="2880" w:hanging="360"/>
      </w:pPr>
      <w:rPr>
        <w:rFonts w:ascii="Symbol" w:hAnsi="Symbol" w:hint="default"/>
      </w:rPr>
    </w:lvl>
    <w:lvl w:ilvl="4" w:tplc="18BA156C" w:tentative="1">
      <w:start w:val="1"/>
      <w:numFmt w:val="bullet"/>
      <w:lvlText w:val="o"/>
      <w:lvlJc w:val="left"/>
      <w:pPr>
        <w:tabs>
          <w:tab w:val="num" w:pos="3600"/>
        </w:tabs>
        <w:ind w:left="3600" w:hanging="360"/>
      </w:pPr>
      <w:rPr>
        <w:rFonts w:ascii="Courier" w:hAnsi="Courier" w:hint="default"/>
      </w:rPr>
    </w:lvl>
    <w:lvl w:ilvl="5" w:tplc="57A6EA60" w:tentative="1">
      <w:start w:val="1"/>
      <w:numFmt w:val="bullet"/>
      <w:lvlText w:val=""/>
      <w:lvlJc w:val="left"/>
      <w:pPr>
        <w:tabs>
          <w:tab w:val="num" w:pos="4320"/>
        </w:tabs>
        <w:ind w:left="4320" w:hanging="360"/>
      </w:pPr>
      <w:rPr>
        <w:rFonts w:ascii="Wingdings" w:hAnsi="Wingdings" w:hint="default"/>
      </w:rPr>
    </w:lvl>
    <w:lvl w:ilvl="6" w:tplc="FE78F790" w:tentative="1">
      <w:start w:val="1"/>
      <w:numFmt w:val="bullet"/>
      <w:lvlText w:val=""/>
      <w:lvlJc w:val="left"/>
      <w:pPr>
        <w:tabs>
          <w:tab w:val="num" w:pos="5040"/>
        </w:tabs>
        <w:ind w:left="5040" w:hanging="360"/>
      </w:pPr>
      <w:rPr>
        <w:rFonts w:ascii="Symbol" w:hAnsi="Symbol" w:hint="default"/>
      </w:rPr>
    </w:lvl>
    <w:lvl w:ilvl="7" w:tplc="D6CE3FA2" w:tentative="1">
      <w:start w:val="1"/>
      <w:numFmt w:val="bullet"/>
      <w:lvlText w:val="o"/>
      <w:lvlJc w:val="left"/>
      <w:pPr>
        <w:tabs>
          <w:tab w:val="num" w:pos="5760"/>
        </w:tabs>
        <w:ind w:left="5760" w:hanging="360"/>
      </w:pPr>
      <w:rPr>
        <w:rFonts w:ascii="Courier" w:hAnsi="Courier" w:hint="default"/>
      </w:rPr>
    </w:lvl>
    <w:lvl w:ilvl="8" w:tplc="73089C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B2CB6"/>
    <w:multiLevelType w:val="hybridMultilevel"/>
    <w:tmpl w:val="E934227C"/>
    <w:lvl w:ilvl="0" w:tplc="639CD8DA">
      <w:start w:val="1"/>
      <w:numFmt w:val="decimal"/>
      <w:lvlText w:val="%1"/>
      <w:lvlJc w:val="left"/>
      <w:pPr>
        <w:tabs>
          <w:tab w:val="num" w:pos="1220"/>
        </w:tabs>
        <w:ind w:left="1220" w:hanging="860"/>
      </w:pPr>
      <w:rPr>
        <w:rFonts w:hint="default"/>
      </w:rPr>
    </w:lvl>
    <w:lvl w:ilvl="1" w:tplc="C1FA33D4" w:tentative="1">
      <w:start w:val="1"/>
      <w:numFmt w:val="lowerLetter"/>
      <w:lvlText w:val="%2."/>
      <w:lvlJc w:val="left"/>
      <w:pPr>
        <w:tabs>
          <w:tab w:val="num" w:pos="1440"/>
        </w:tabs>
        <w:ind w:left="1440" w:hanging="360"/>
      </w:pPr>
    </w:lvl>
    <w:lvl w:ilvl="2" w:tplc="A3382022" w:tentative="1">
      <w:start w:val="1"/>
      <w:numFmt w:val="lowerRoman"/>
      <w:lvlText w:val="%3."/>
      <w:lvlJc w:val="right"/>
      <w:pPr>
        <w:tabs>
          <w:tab w:val="num" w:pos="2160"/>
        </w:tabs>
        <w:ind w:left="2160" w:hanging="180"/>
      </w:pPr>
    </w:lvl>
    <w:lvl w:ilvl="3" w:tplc="FBEAEFB6" w:tentative="1">
      <w:start w:val="1"/>
      <w:numFmt w:val="decimal"/>
      <w:lvlText w:val="%4."/>
      <w:lvlJc w:val="left"/>
      <w:pPr>
        <w:tabs>
          <w:tab w:val="num" w:pos="2880"/>
        </w:tabs>
        <w:ind w:left="2880" w:hanging="360"/>
      </w:pPr>
    </w:lvl>
    <w:lvl w:ilvl="4" w:tplc="A48E5114" w:tentative="1">
      <w:start w:val="1"/>
      <w:numFmt w:val="lowerLetter"/>
      <w:lvlText w:val="%5."/>
      <w:lvlJc w:val="left"/>
      <w:pPr>
        <w:tabs>
          <w:tab w:val="num" w:pos="3600"/>
        </w:tabs>
        <w:ind w:left="3600" w:hanging="360"/>
      </w:pPr>
    </w:lvl>
    <w:lvl w:ilvl="5" w:tplc="E6A86BEC" w:tentative="1">
      <w:start w:val="1"/>
      <w:numFmt w:val="lowerRoman"/>
      <w:lvlText w:val="%6."/>
      <w:lvlJc w:val="right"/>
      <w:pPr>
        <w:tabs>
          <w:tab w:val="num" w:pos="4320"/>
        </w:tabs>
        <w:ind w:left="4320" w:hanging="180"/>
      </w:pPr>
    </w:lvl>
    <w:lvl w:ilvl="6" w:tplc="B040F7E4" w:tentative="1">
      <w:start w:val="1"/>
      <w:numFmt w:val="decimal"/>
      <w:lvlText w:val="%7."/>
      <w:lvlJc w:val="left"/>
      <w:pPr>
        <w:tabs>
          <w:tab w:val="num" w:pos="5040"/>
        </w:tabs>
        <w:ind w:left="5040" w:hanging="360"/>
      </w:pPr>
    </w:lvl>
    <w:lvl w:ilvl="7" w:tplc="A1EE9E0A" w:tentative="1">
      <w:start w:val="1"/>
      <w:numFmt w:val="lowerLetter"/>
      <w:lvlText w:val="%8."/>
      <w:lvlJc w:val="left"/>
      <w:pPr>
        <w:tabs>
          <w:tab w:val="num" w:pos="5760"/>
        </w:tabs>
        <w:ind w:left="5760" w:hanging="360"/>
      </w:pPr>
    </w:lvl>
    <w:lvl w:ilvl="8" w:tplc="734467AE" w:tentative="1">
      <w:start w:val="1"/>
      <w:numFmt w:val="lowerRoman"/>
      <w:lvlText w:val="%9."/>
      <w:lvlJc w:val="right"/>
      <w:pPr>
        <w:tabs>
          <w:tab w:val="num" w:pos="6480"/>
        </w:tabs>
        <w:ind w:left="6480" w:hanging="180"/>
      </w:pPr>
    </w:lvl>
  </w:abstractNum>
  <w:abstractNum w:abstractNumId="21" w15:restartNumberingAfterBreak="0">
    <w:nsid w:val="77D15855"/>
    <w:multiLevelType w:val="hybridMultilevel"/>
    <w:tmpl w:val="4954956C"/>
    <w:lvl w:ilvl="0" w:tplc="839EC064">
      <w:start w:val="1"/>
      <w:numFmt w:val="decimal"/>
      <w:lvlText w:val="%1."/>
      <w:lvlJc w:val="left"/>
      <w:pPr>
        <w:tabs>
          <w:tab w:val="num" w:pos="720"/>
        </w:tabs>
        <w:ind w:left="720" w:hanging="360"/>
      </w:pPr>
      <w:rPr>
        <w:rFonts w:hint="default"/>
      </w:rPr>
    </w:lvl>
    <w:lvl w:ilvl="1" w:tplc="2C3444A6" w:tentative="1">
      <w:start w:val="1"/>
      <w:numFmt w:val="lowerLetter"/>
      <w:lvlText w:val="%2."/>
      <w:lvlJc w:val="left"/>
      <w:pPr>
        <w:tabs>
          <w:tab w:val="num" w:pos="1440"/>
        </w:tabs>
        <w:ind w:left="1440" w:hanging="360"/>
      </w:pPr>
    </w:lvl>
    <w:lvl w:ilvl="2" w:tplc="05224C8A" w:tentative="1">
      <w:start w:val="1"/>
      <w:numFmt w:val="lowerRoman"/>
      <w:lvlText w:val="%3."/>
      <w:lvlJc w:val="right"/>
      <w:pPr>
        <w:tabs>
          <w:tab w:val="num" w:pos="2160"/>
        </w:tabs>
        <w:ind w:left="2160" w:hanging="180"/>
      </w:pPr>
    </w:lvl>
    <w:lvl w:ilvl="3" w:tplc="A9CC6D2E" w:tentative="1">
      <w:start w:val="1"/>
      <w:numFmt w:val="decimal"/>
      <w:lvlText w:val="%4."/>
      <w:lvlJc w:val="left"/>
      <w:pPr>
        <w:tabs>
          <w:tab w:val="num" w:pos="2880"/>
        </w:tabs>
        <w:ind w:left="2880" w:hanging="360"/>
      </w:pPr>
    </w:lvl>
    <w:lvl w:ilvl="4" w:tplc="FE1C33E6" w:tentative="1">
      <w:start w:val="1"/>
      <w:numFmt w:val="lowerLetter"/>
      <w:lvlText w:val="%5."/>
      <w:lvlJc w:val="left"/>
      <w:pPr>
        <w:tabs>
          <w:tab w:val="num" w:pos="3600"/>
        </w:tabs>
        <w:ind w:left="3600" w:hanging="360"/>
      </w:pPr>
    </w:lvl>
    <w:lvl w:ilvl="5" w:tplc="49188BC8" w:tentative="1">
      <w:start w:val="1"/>
      <w:numFmt w:val="lowerRoman"/>
      <w:lvlText w:val="%6."/>
      <w:lvlJc w:val="right"/>
      <w:pPr>
        <w:tabs>
          <w:tab w:val="num" w:pos="4320"/>
        </w:tabs>
        <w:ind w:left="4320" w:hanging="180"/>
      </w:pPr>
    </w:lvl>
    <w:lvl w:ilvl="6" w:tplc="DFA2E48C" w:tentative="1">
      <w:start w:val="1"/>
      <w:numFmt w:val="decimal"/>
      <w:lvlText w:val="%7."/>
      <w:lvlJc w:val="left"/>
      <w:pPr>
        <w:tabs>
          <w:tab w:val="num" w:pos="5040"/>
        </w:tabs>
        <w:ind w:left="5040" w:hanging="360"/>
      </w:pPr>
    </w:lvl>
    <w:lvl w:ilvl="7" w:tplc="928EF214" w:tentative="1">
      <w:start w:val="1"/>
      <w:numFmt w:val="lowerLetter"/>
      <w:lvlText w:val="%8."/>
      <w:lvlJc w:val="left"/>
      <w:pPr>
        <w:tabs>
          <w:tab w:val="num" w:pos="5760"/>
        </w:tabs>
        <w:ind w:left="5760" w:hanging="360"/>
      </w:pPr>
    </w:lvl>
    <w:lvl w:ilvl="8" w:tplc="819CD764" w:tentative="1">
      <w:start w:val="1"/>
      <w:numFmt w:val="lowerRoman"/>
      <w:lvlText w:val="%9."/>
      <w:lvlJc w:val="right"/>
      <w:pPr>
        <w:tabs>
          <w:tab w:val="num" w:pos="6480"/>
        </w:tabs>
        <w:ind w:left="6480" w:hanging="180"/>
      </w:pPr>
    </w:lvl>
  </w:abstractNum>
  <w:abstractNum w:abstractNumId="22" w15:restartNumberingAfterBreak="0">
    <w:nsid w:val="79661486"/>
    <w:multiLevelType w:val="multilevel"/>
    <w:tmpl w:val="1F9AD6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0"/>
  </w:num>
  <w:num w:numId="3">
    <w:abstractNumId w:val="19"/>
  </w:num>
  <w:num w:numId="4">
    <w:abstractNumId w:val="20"/>
  </w:num>
  <w:num w:numId="5">
    <w:abstractNumId w:val="15"/>
  </w:num>
  <w:num w:numId="6">
    <w:abstractNumId w:val="2"/>
  </w:num>
  <w:num w:numId="7">
    <w:abstractNumId w:val="21"/>
  </w:num>
  <w:num w:numId="8">
    <w:abstractNumId w:val="18"/>
  </w:num>
  <w:num w:numId="9">
    <w:abstractNumId w:val="14"/>
  </w:num>
  <w:num w:numId="10">
    <w:abstractNumId w:val="11"/>
  </w:num>
  <w:num w:numId="11">
    <w:abstractNumId w:val="5"/>
  </w:num>
  <w:num w:numId="12">
    <w:abstractNumId w:val="10"/>
  </w:num>
  <w:num w:numId="13">
    <w:abstractNumId w:val="4"/>
  </w:num>
  <w:num w:numId="14">
    <w:abstractNumId w:val="3"/>
  </w:num>
  <w:num w:numId="15">
    <w:abstractNumId w:val="1"/>
  </w:num>
  <w:num w:numId="16">
    <w:abstractNumId w:val="7"/>
  </w:num>
  <w:num w:numId="17">
    <w:abstractNumId w:val="6"/>
  </w:num>
  <w:num w:numId="18">
    <w:abstractNumId w:val="12"/>
  </w:num>
  <w:num w:numId="19">
    <w:abstractNumId w:val="17"/>
  </w:num>
  <w:num w:numId="20">
    <w:abstractNumId w:val="9"/>
  </w:num>
  <w:num w:numId="21">
    <w:abstractNumId w:val="13"/>
  </w:num>
  <w:num w:numId="22">
    <w:abstractNumId w:val="8"/>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CA"/>
    <w:rsid w:val="000108C5"/>
    <w:rsid w:val="00016B57"/>
    <w:rsid w:val="00020E0A"/>
    <w:rsid w:val="00054A63"/>
    <w:rsid w:val="000908D6"/>
    <w:rsid w:val="000A06B9"/>
    <w:rsid w:val="000D692A"/>
    <w:rsid w:val="000F22F1"/>
    <w:rsid w:val="00105E96"/>
    <w:rsid w:val="00113DB9"/>
    <w:rsid w:val="001177AD"/>
    <w:rsid w:val="0013463D"/>
    <w:rsid w:val="00134EC6"/>
    <w:rsid w:val="001376B2"/>
    <w:rsid w:val="001471E2"/>
    <w:rsid w:val="00161F6F"/>
    <w:rsid w:val="00186CF4"/>
    <w:rsid w:val="001A13EC"/>
    <w:rsid w:val="001C62F5"/>
    <w:rsid w:val="001D7B8E"/>
    <w:rsid w:val="001E6ECA"/>
    <w:rsid w:val="001F1042"/>
    <w:rsid w:val="001F27F2"/>
    <w:rsid w:val="001F302B"/>
    <w:rsid w:val="001F38B2"/>
    <w:rsid w:val="00203EF8"/>
    <w:rsid w:val="0022094A"/>
    <w:rsid w:val="002269F8"/>
    <w:rsid w:val="00242D67"/>
    <w:rsid w:val="002469C2"/>
    <w:rsid w:val="0025591B"/>
    <w:rsid w:val="00284A14"/>
    <w:rsid w:val="00284AD5"/>
    <w:rsid w:val="002A3200"/>
    <w:rsid w:val="002B36E5"/>
    <w:rsid w:val="002C10FB"/>
    <w:rsid w:val="002E0237"/>
    <w:rsid w:val="002F6612"/>
    <w:rsid w:val="002F7B71"/>
    <w:rsid w:val="003112BD"/>
    <w:rsid w:val="0032529E"/>
    <w:rsid w:val="00337B61"/>
    <w:rsid w:val="003444E4"/>
    <w:rsid w:val="003461EF"/>
    <w:rsid w:val="00347A4C"/>
    <w:rsid w:val="0036465B"/>
    <w:rsid w:val="00367383"/>
    <w:rsid w:val="00370E03"/>
    <w:rsid w:val="00376346"/>
    <w:rsid w:val="003A2488"/>
    <w:rsid w:val="003A2FC9"/>
    <w:rsid w:val="003A4273"/>
    <w:rsid w:val="003A45C4"/>
    <w:rsid w:val="003B46F4"/>
    <w:rsid w:val="003B59C6"/>
    <w:rsid w:val="003D1F10"/>
    <w:rsid w:val="00402D69"/>
    <w:rsid w:val="004115B3"/>
    <w:rsid w:val="00412A4A"/>
    <w:rsid w:val="00413E9E"/>
    <w:rsid w:val="00423729"/>
    <w:rsid w:val="00452719"/>
    <w:rsid w:val="004566BC"/>
    <w:rsid w:val="0046198E"/>
    <w:rsid w:val="00493213"/>
    <w:rsid w:val="004A2854"/>
    <w:rsid w:val="004C4176"/>
    <w:rsid w:val="004C4FF9"/>
    <w:rsid w:val="004C63C2"/>
    <w:rsid w:val="004D228F"/>
    <w:rsid w:val="004D7DA3"/>
    <w:rsid w:val="004E09B3"/>
    <w:rsid w:val="004F5E8C"/>
    <w:rsid w:val="005245D8"/>
    <w:rsid w:val="005252E3"/>
    <w:rsid w:val="00541BE8"/>
    <w:rsid w:val="00543D89"/>
    <w:rsid w:val="00550A69"/>
    <w:rsid w:val="00554490"/>
    <w:rsid w:val="005553DA"/>
    <w:rsid w:val="0055680F"/>
    <w:rsid w:val="00585EEF"/>
    <w:rsid w:val="00594629"/>
    <w:rsid w:val="005A59FE"/>
    <w:rsid w:val="005C3986"/>
    <w:rsid w:val="005D201C"/>
    <w:rsid w:val="005E1BCE"/>
    <w:rsid w:val="005E4B40"/>
    <w:rsid w:val="006052BF"/>
    <w:rsid w:val="006142F2"/>
    <w:rsid w:val="00621B73"/>
    <w:rsid w:val="0064205C"/>
    <w:rsid w:val="006649F9"/>
    <w:rsid w:val="006B041E"/>
    <w:rsid w:val="006B6680"/>
    <w:rsid w:val="0070630A"/>
    <w:rsid w:val="00723646"/>
    <w:rsid w:val="00727008"/>
    <w:rsid w:val="00744C28"/>
    <w:rsid w:val="00756D2A"/>
    <w:rsid w:val="0076090F"/>
    <w:rsid w:val="00776142"/>
    <w:rsid w:val="0078345F"/>
    <w:rsid w:val="00790751"/>
    <w:rsid w:val="007C75BB"/>
    <w:rsid w:val="007E7AE2"/>
    <w:rsid w:val="00807DE6"/>
    <w:rsid w:val="008112DA"/>
    <w:rsid w:val="00817766"/>
    <w:rsid w:val="00833564"/>
    <w:rsid w:val="008558FD"/>
    <w:rsid w:val="008664B8"/>
    <w:rsid w:val="008700B4"/>
    <w:rsid w:val="00885A6C"/>
    <w:rsid w:val="00891266"/>
    <w:rsid w:val="008932EF"/>
    <w:rsid w:val="008A6906"/>
    <w:rsid w:val="008B7E9D"/>
    <w:rsid w:val="0090254E"/>
    <w:rsid w:val="00905C2F"/>
    <w:rsid w:val="00913AB0"/>
    <w:rsid w:val="00924275"/>
    <w:rsid w:val="00944B15"/>
    <w:rsid w:val="00945023"/>
    <w:rsid w:val="00973E31"/>
    <w:rsid w:val="009811A7"/>
    <w:rsid w:val="00981DF1"/>
    <w:rsid w:val="00990B8B"/>
    <w:rsid w:val="009C0C26"/>
    <w:rsid w:val="009D28A4"/>
    <w:rsid w:val="009D5ECA"/>
    <w:rsid w:val="009D7520"/>
    <w:rsid w:val="009F6788"/>
    <w:rsid w:val="00A17177"/>
    <w:rsid w:val="00A34CE7"/>
    <w:rsid w:val="00A54B55"/>
    <w:rsid w:val="00A60818"/>
    <w:rsid w:val="00A6355E"/>
    <w:rsid w:val="00A73BE3"/>
    <w:rsid w:val="00A83088"/>
    <w:rsid w:val="00AA0E64"/>
    <w:rsid w:val="00AA45FE"/>
    <w:rsid w:val="00AC05D2"/>
    <w:rsid w:val="00AD3E04"/>
    <w:rsid w:val="00AE5601"/>
    <w:rsid w:val="00AF06AD"/>
    <w:rsid w:val="00B11A11"/>
    <w:rsid w:val="00B22E37"/>
    <w:rsid w:val="00B37468"/>
    <w:rsid w:val="00B41709"/>
    <w:rsid w:val="00B41D57"/>
    <w:rsid w:val="00B42050"/>
    <w:rsid w:val="00B60791"/>
    <w:rsid w:val="00B62722"/>
    <w:rsid w:val="00B83186"/>
    <w:rsid w:val="00B83BA6"/>
    <w:rsid w:val="00BA04EF"/>
    <w:rsid w:val="00BC2E08"/>
    <w:rsid w:val="00BC754A"/>
    <w:rsid w:val="00BE0AA8"/>
    <w:rsid w:val="00BE2E83"/>
    <w:rsid w:val="00C17884"/>
    <w:rsid w:val="00C27ED2"/>
    <w:rsid w:val="00C3536B"/>
    <w:rsid w:val="00C53525"/>
    <w:rsid w:val="00C54BE0"/>
    <w:rsid w:val="00C64BE8"/>
    <w:rsid w:val="00C65146"/>
    <w:rsid w:val="00C70012"/>
    <w:rsid w:val="00C74C0B"/>
    <w:rsid w:val="00C85EBB"/>
    <w:rsid w:val="00C90D02"/>
    <w:rsid w:val="00C95B90"/>
    <w:rsid w:val="00C95FCD"/>
    <w:rsid w:val="00CA1A4B"/>
    <w:rsid w:val="00CA2AEE"/>
    <w:rsid w:val="00CA4683"/>
    <w:rsid w:val="00CB3B02"/>
    <w:rsid w:val="00CC07DD"/>
    <w:rsid w:val="00CC10A3"/>
    <w:rsid w:val="00CC14BE"/>
    <w:rsid w:val="00CC53C5"/>
    <w:rsid w:val="00CF00DE"/>
    <w:rsid w:val="00CF088B"/>
    <w:rsid w:val="00D0238A"/>
    <w:rsid w:val="00D07C33"/>
    <w:rsid w:val="00D3356D"/>
    <w:rsid w:val="00D43235"/>
    <w:rsid w:val="00D5664C"/>
    <w:rsid w:val="00DB5BE1"/>
    <w:rsid w:val="00DD496A"/>
    <w:rsid w:val="00DE166D"/>
    <w:rsid w:val="00DE4796"/>
    <w:rsid w:val="00DF1BF2"/>
    <w:rsid w:val="00E1732A"/>
    <w:rsid w:val="00E239CC"/>
    <w:rsid w:val="00E239CF"/>
    <w:rsid w:val="00E2522C"/>
    <w:rsid w:val="00E33A1F"/>
    <w:rsid w:val="00E37CFB"/>
    <w:rsid w:val="00E40ED6"/>
    <w:rsid w:val="00E52CC4"/>
    <w:rsid w:val="00E67DFF"/>
    <w:rsid w:val="00E7559A"/>
    <w:rsid w:val="00E84CB9"/>
    <w:rsid w:val="00EA6F63"/>
    <w:rsid w:val="00EB2F53"/>
    <w:rsid w:val="00EB3AAF"/>
    <w:rsid w:val="00F012DE"/>
    <w:rsid w:val="00F20055"/>
    <w:rsid w:val="00F40A37"/>
    <w:rsid w:val="00F66B6F"/>
    <w:rsid w:val="00F92A97"/>
    <w:rsid w:val="00FB7572"/>
    <w:rsid w:val="00FC15E6"/>
    <w:rsid w:val="00FC3FC0"/>
    <w:rsid w:val="00FC6834"/>
    <w:rsid w:val="00FF18FD"/>
    <w:rsid w:val="00FF6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1A44AF"/>
  <w15:docId w15:val="{E9F78F52-3E79-4E97-8EF6-04EB42C2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60" w:lineRule="atLeast"/>
    </w:pPr>
    <w:rPr>
      <w:rFonts w:ascii="Times New Roman" w:hAnsi="Times New Roman"/>
      <w:sz w:val="21"/>
    </w:rPr>
  </w:style>
  <w:style w:type="paragraph" w:styleId="Rubrik1">
    <w:name w:val="heading 1"/>
    <w:basedOn w:val="Normal"/>
    <w:next w:val="Normal"/>
    <w:qFormat/>
    <w:pPr>
      <w:keepNext/>
      <w:tabs>
        <w:tab w:val="left" w:pos="851"/>
      </w:tabs>
      <w:spacing w:after="80" w:line="240" w:lineRule="auto"/>
      <w:outlineLvl w:val="0"/>
    </w:pPr>
    <w:rPr>
      <w:rFonts w:ascii="Arial" w:hAnsi="Arial"/>
      <w:kern w:val="32"/>
      <w:sz w:val="36"/>
    </w:rPr>
  </w:style>
  <w:style w:type="paragraph" w:styleId="Rubrik2">
    <w:name w:val="heading 2"/>
    <w:basedOn w:val="Normal"/>
    <w:next w:val="Normal"/>
    <w:link w:val="Rubrik2Char"/>
    <w:qFormat/>
    <w:pPr>
      <w:keepNext/>
      <w:tabs>
        <w:tab w:val="left" w:pos="851"/>
      </w:tabs>
      <w:spacing w:before="320" w:after="80" w:line="240" w:lineRule="auto"/>
      <w:outlineLvl w:val="1"/>
    </w:pPr>
    <w:rPr>
      <w:rFonts w:ascii="Arial" w:hAnsi="Arial"/>
      <w:sz w:val="30"/>
    </w:rPr>
  </w:style>
  <w:style w:type="paragraph" w:styleId="Rubrik3">
    <w:name w:val="heading 3"/>
    <w:basedOn w:val="Normal"/>
    <w:next w:val="Normal"/>
    <w:link w:val="Rubrik3Char"/>
    <w:qFormat/>
    <w:pPr>
      <w:keepNext/>
      <w:tabs>
        <w:tab w:val="left" w:pos="851"/>
      </w:tabs>
      <w:spacing w:before="320" w:after="80" w:line="240" w:lineRule="auto"/>
      <w:outlineLvl w:val="2"/>
    </w:pPr>
    <w:rPr>
      <w:rFonts w:ascii="Arial" w:hAnsi="Arial"/>
      <w:b/>
      <w:sz w:val="24"/>
    </w:rPr>
  </w:style>
  <w:style w:type="paragraph" w:styleId="Rubrik4">
    <w:name w:val="heading 4"/>
    <w:basedOn w:val="Normal"/>
    <w:next w:val="Normal"/>
    <w:qFormat/>
    <w:pPr>
      <w:keepNext/>
      <w:tabs>
        <w:tab w:val="left" w:pos="851"/>
      </w:tabs>
      <w:spacing w:before="320" w:after="80" w:line="240" w:lineRule="auto"/>
      <w:outlineLvl w:val="3"/>
    </w:pPr>
    <w:rPr>
      <w:rFonts w:ascii="Arial" w:hAnsi="Arial"/>
      <w:b/>
      <w:sz w:val="20"/>
    </w:rPr>
  </w:style>
  <w:style w:type="paragraph" w:styleId="Rubrik5">
    <w:name w:val="heading 5"/>
    <w:basedOn w:val="Normal"/>
    <w:next w:val="Normal"/>
    <w:qFormat/>
    <w:pPr>
      <w:keepNext/>
      <w:tabs>
        <w:tab w:val="left" w:pos="851"/>
      </w:tabs>
      <w:spacing w:before="320" w:after="80" w:line="240" w:lineRule="auto"/>
      <w:outlineLvl w:val="4"/>
    </w:pPr>
    <w:rPr>
      <w:rFonts w:ascii="Arial" w:hAnsi="Arial"/>
      <w:b/>
      <w:sz w:val="20"/>
    </w:rPr>
  </w:style>
  <w:style w:type="paragraph" w:styleId="Rubrik6">
    <w:name w:val="heading 6"/>
    <w:basedOn w:val="Normal"/>
    <w:next w:val="Normal"/>
    <w:qFormat/>
    <w:pPr>
      <w:keepNext/>
      <w:spacing w:before="320" w:after="80" w:line="240" w:lineRule="auto"/>
      <w:outlineLvl w:val="5"/>
    </w:pPr>
    <w:rPr>
      <w:rFonts w:ascii="Arial" w:hAnsi="Arial"/>
      <w:i/>
      <w:sz w:val="20"/>
    </w:rPr>
  </w:style>
  <w:style w:type="paragraph" w:styleId="Rubrik7">
    <w:name w:val="heading 7"/>
    <w:basedOn w:val="Normal"/>
    <w:next w:val="Normal"/>
    <w:qFormat/>
    <w:rsid w:val="003A45C4"/>
    <w:pPr>
      <w:keepNext/>
      <w:spacing w:line="240" w:lineRule="auto"/>
      <w:outlineLvl w:val="6"/>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Punktlista">
    <w:name w:val="List Bullet"/>
    <w:basedOn w:val="Normal"/>
    <w:autoRedefine/>
    <w:pPr>
      <w:numPr>
        <w:numId w:val="6"/>
      </w:numPr>
      <w:tabs>
        <w:tab w:val="clear" w:pos="360"/>
      </w:tabs>
      <w:spacing w:before="100" w:after="60"/>
    </w:pPr>
  </w:style>
  <w:style w:type="paragraph" w:styleId="Sidhuvud">
    <w:name w:val="header"/>
    <w:basedOn w:val="Tabellrubrik"/>
    <w:pPr>
      <w:spacing w:before="40" w:after="40"/>
    </w:pPr>
    <w:rPr>
      <w:b w:val="0"/>
    </w:rPr>
  </w:style>
  <w:style w:type="paragraph" w:customStyle="1" w:styleId="Tabellrubrik">
    <w:name w:val="Tabellrubrik"/>
    <w:basedOn w:val="Normal"/>
    <w:pPr>
      <w:spacing w:before="200" w:after="100" w:line="240" w:lineRule="auto"/>
    </w:pPr>
    <w:rPr>
      <w:rFonts w:ascii="Arial" w:hAnsi="Arial"/>
      <w:b/>
      <w:sz w:val="16"/>
    </w:rPr>
  </w:style>
  <w:style w:type="character" w:styleId="Sidnummer">
    <w:name w:val="page number"/>
    <w:basedOn w:val="Standardstycketeckensnitt"/>
    <w:rPr>
      <w:rFonts w:ascii="Arial" w:hAnsi="Arial"/>
      <w:sz w:val="16"/>
      <w:bdr w:val="none" w:sz="0" w:space="0" w:color="auto"/>
    </w:rPr>
  </w:style>
  <w:style w:type="paragraph" w:styleId="Innehll1">
    <w:name w:val="toc 1"/>
    <w:basedOn w:val="Normal"/>
    <w:next w:val="Normal"/>
    <w:autoRedefine/>
    <w:uiPriority w:val="39"/>
    <w:rsid w:val="003A45C4"/>
    <w:pPr>
      <w:tabs>
        <w:tab w:val="right" w:leader="underscore" w:pos="8505"/>
      </w:tabs>
      <w:spacing w:before="300" w:line="240" w:lineRule="auto"/>
      <w:ind w:left="567" w:hanging="567"/>
    </w:pPr>
    <w:rPr>
      <w:rFonts w:ascii="Arial" w:hAnsi="Arial"/>
      <w:b/>
      <w:noProof/>
      <w:sz w:val="20"/>
    </w:rPr>
  </w:style>
  <w:style w:type="paragraph" w:styleId="Innehll2">
    <w:name w:val="toc 2"/>
    <w:basedOn w:val="Innehll1"/>
    <w:next w:val="Normal"/>
    <w:autoRedefine/>
    <w:uiPriority w:val="39"/>
    <w:rsid w:val="003A45C4"/>
    <w:pPr>
      <w:spacing w:before="40"/>
      <w:ind w:left="1134"/>
    </w:pPr>
    <w:rPr>
      <w:b w:val="0"/>
    </w:rPr>
  </w:style>
  <w:style w:type="paragraph" w:styleId="Innehll3">
    <w:name w:val="toc 3"/>
    <w:basedOn w:val="Normal"/>
    <w:next w:val="Normal"/>
    <w:autoRedefine/>
    <w:uiPriority w:val="39"/>
    <w:rsid w:val="003A45C4"/>
    <w:pPr>
      <w:tabs>
        <w:tab w:val="right" w:leader="underscore" w:pos="8505"/>
      </w:tabs>
      <w:spacing w:before="40" w:line="240" w:lineRule="auto"/>
      <w:ind w:left="1701" w:hanging="567"/>
    </w:pPr>
    <w:rPr>
      <w:rFonts w:ascii="Arial" w:hAnsi="Arial"/>
      <w:noProof/>
      <w:sz w:val="20"/>
    </w:rPr>
  </w:style>
  <w:style w:type="paragraph" w:customStyle="1" w:styleId="Ingress">
    <w:name w:val="Ingress"/>
    <w:basedOn w:val="Normal"/>
    <w:rsid w:val="003A45C4"/>
    <w:pPr>
      <w:spacing w:before="400" w:line="240" w:lineRule="auto"/>
    </w:pPr>
    <w:rPr>
      <w:rFonts w:ascii="Arial" w:hAnsi="Arial"/>
      <w:b/>
      <w:sz w:val="19"/>
    </w:rPr>
  </w:style>
  <w:style w:type="paragraph" w:customStyle="1" w:styleId="Kolumnrubriker">
    <w:name w:val="Kolumnrubriker"/>
    <w:basedOn w:val="Normal"/>
    <w:pPr>
      <w:spacing w:before="100" w:after="100" w:line="240" w:lineRule="auto"/>
    </w:pPr>
    <w:rPr>
      <w:rFonts w:ascii="Arial" w:hAnsi="Arial"/>
      <w:b/>
      <w:sz w:val="14"/>
    </w:rPr>
  </w:style>
  <w:style w:type="paragraph" w:customStyle="1" w:styleId="Tabelltext">
    <w:name w:val="Tabelltext"/>
    <w:basedOn w:val="Normal"/>
    <w:rsid w:val="003A45C4"/>
    <w:pPr>
      <w:spacing w:before="60" w:line="240" w:lineRule="auto"/>
    </w:pPr>
    <w:rPr>
      <w:rFonts w:ascii="Arial" w:hAnsi="Arial"/>
      <w:sz w:val="18"/>
    </w:rPr>
  </w:style>
  <w:style w:type="paragraph" w:customStyle="1" w:styleId="Diagramrubrik">
    <w:name w:val="Diagramrubrik"/>
    <w:basedOn w:val="Normal"/>
    <w:pPr>
      <w:spacing w:before="200" w:after="100" w:line="240" w:lineRule="auto"/>
    </w:pPr>
    <w:rPr>
      <w:rFonts w:ascii="Arial" w:hAnsi="Arial"/>
      <w:b/>
      <w:sz w:val="16"/>
    </w:rPr>
  </w:style>
  <w:style w:type="paragraph" w:styleId="Innehll4">
    <w:name w:val="toc 4"/>
    <w:basedOn w:val="Normal"/>
    <w:next w:val="Normal"/>
    <w:autoRedefine/>
    <w:uiPriority w:val="39"/>
    <w:rsid w:val="003A45C4"/>
    <w:pPr>
      <w:tabs>
        <w:tab w:val="right" w:leader="underscore" w:pos="8505"/>
      </w:tabs>
      <w:spacing w:before="40" w:line="240" w:lineRule="auto"/>
      <w:ind w:left="2268" w:hanging="567"/>
    </w:pPr>
    <w:rPr>
      <w:rFonts w:ascii="Arial" w:hAnsi="Arial"/>
      <w:noProof/>
      <w:sz w:val="20"/>
    </w:rPr>
  </w:style>
  <w:style w:type="paragraph" w:customStyle="1" w:styleId="Huvudrubrik">
    <w:name w:val="Huvudrubrik"/>
    <w:basedOn w:val="Normal"/>
    <w:rsid w:val="003A45C4"/>
    <w:pPr>
      <w:tabs>
        <w:tab w:val="left" w:pos="851"/>
      </w:tabs>
      <w:spacing w:line="240" w:lineRule="auto"/>
    </w:pPr>
    <w:rPr>
      <w:rFonts w:ascii="Arial" w:hAnsi="Arial"/>
      <w:sz w:val="40"/>
    </w:rPr>
  </w:style>
  <w:style w:type="paragraph" w:styleId="Sidfot">
    <w:name w:val="footer"/>
    <w:basedOn w:val="Normal"/>
    <w:rsid w:val="003A45C4"/>
    <w:pPr>
      <w:tabs>
        <w:tab w:val="center" w:pos="4536"/>
        <w:tab w:val="right" w:pos="9072"/>
      </w:tabs>
      <w:spacing w:line="240" w:lineRule="auto"/>
    </w:pPr>
    <w:rPr>
      <w:rFonts w:ascii="Arial" w:hAnsi="Arial"/>
      <w:sz w:val="16"/>
    </w:rPr>
  </w:style>
  <w:style w:type="paragraph" w:styleId="Fotnotstext">
    <w:name w:val="footnote text"/>
    <w:basedOn w:val="Normal"/>
    <w:rsid w:val="003A45C4"/>
    <w:pPr>
      <w:spacing w:line="240" w:lineRule="auto"/>
    </w:pPr>
    <w:rPr>
      <w:sz w:val="18"/>
    </w:rPr>
  </w:style>
  <w:style w:type="paragraph" w:customStyle="1" w:styleId="Indrag">
    <w:name w:val="Indrag"/>
    <w:basedOn w:val="Normal"/>
    <w:pPr>
      <w:spacing w:before="100" w:after="60"/>
      <w:ind w:left="340"/>
    </w:pPr>
  </w:style>
  <w:style w:type="paragraph" w:customStyle="1" w:styleId="Dnr">
    <w:name w:val="Dnr"/>
    <w:basedOn w:val="Normal"/>
    <w:rsid w:val="003A45C4"/>
    <w:pPr>
      <w:tabs>
        <w:tab w:val="right" w:pos="8505"/>
      </w:tabs>
      <w:spacing w:before="800" w:after="1800" w:line="240" w:lineRule="auto"/>
      <w:ind w:left="1701"/>
    </w:pPr>
    <w:rPr>
      <w:rFonts w:ascii="Arial" w:hAnsi="Arial"/>
      <w:sz w:val="20"/>
    </w:rPr>
  </w:style>
  <w:style w:type="paragraph" w:customStyle="1" w:styleId="Strecklista">
    <w:name w:val="Strecklista"/>
    <w:basedOn w:val="Normal"/>
    <w:pPr>
      <w:numPr>
        <w:numId w:val="9"/>
      </w:numPr>
      <w:tabs>
        <w:tab w:val="clear" w:pos="360"/>
      </w:tabs>
      <w:spacing w:before="100" w:after="60"/>
      <w:ind w:left="340" w:hanging="340"/>
    </w:pPr>
  </w:style>
  <w:style w:type="paragraph" w:customStyle="1" w:styleId="Nummerlista">
    <w:name w:val="Nummerlista"/>
    <w:basedOn w:val="Normal"/>
    <w:pPr>
      <w:numPr>
        <w:numId w:val="8"/>
      </w:numPr>
      <w:tabs>
        <w:tab w:val="clear" w:pos="360"/>
      </w:tabs>
      <w:spacing w:before="100" w:after="60"/>
    </w:pPr>
  </w:style>
  <w:style w:type="paragraph" w:customStyle="1" w:styleId="Titelunderrubrik">
    <w:name w:val="Titel underrubrik"/>
    <w:basedOn w:val="Normal"/>
    <w:pPr>
      <w:spacing w:after="6600" w:line="240" w:lineRule="auto"/>
      <w:ind w:left="1701"/>
    </w:pPr>
    <w:rPr>
      <w:rFonts w:ascii="Arial" w:hAnsi="Arial"/>
      <w:sz w:val="44"/>
    </w:rPr>
  </w:style>
  <w:style w:type="paragraph" w:customStyle="1" w:styleId="Titel">
    <w:name w:val="Titel"/>
    <w:basedOn w:val="Normal"/>
    <w:pPr>
      <w:spacing w:after="200" w:line="240" w:lineRule="auto"/>
      <w:ind w:left="1701"/>
    </w:pPr>
    <w:rPr>
      <w:rFonts w:ascii="Arial" w:hAnsi="Arial"/>
      <w:sz w:val="70"/>
    </w:rPr>
  </w:style>
  <w:style w:type="paragraph" w:styleId="Innehll5">
    <w:name w:val="toc 5"/>
    <w:basedOn w:val="Innehll1"/>
    <w:next w:val="Normal"/>
    <w:autoRedefine/>
    <w:semiHidden/>
    <w:rPr>
      <w:sz w:val="24"/>
    </w:rPr>
  </w:style>
  <w:style w:type="paragraph" w:customStyle="1" w:styleId="Fotnot">
    <w:name w:val="Fotnot"/>
    <w:basedOn w:val="Normal"/>
    <w:pPr>
      <w:spacing w:line="240" w:lineRule="auto"/>
    </w:pPr>
    <w:rPr>
      <w:sz w:val="20"/>
    </w:rPr>
  </w:style>
  <w:style w:type="paragraph" w:customStyle="1" w:styleId="Avsndare">
    <w:name w:val="Avsändare"/>
    <w:basedOn w:val="Normal"/>
    <w:rsid w:val="003A45C4"/>
    <w:pPr>
      <w:spacing w:after="0" w:line="240" w:lineRule="auto"/>
      <w:ind w:left="1701"/>
    </w:pPr>
    <w:rPr>
      <w:rFonts w:ascii="Arial" w:hAnsi="Arial"/>
      <w:sz w:val="24"/>
    </w:rPr>
  </w:style>
  <w:style w:type="character" w:styleId="Fotnotsreferens">
    <w:name w:val="footnote reference"/>
    <w:basedOn w:val="Standardstycketeckensnitt"/>
    <w:rPr>
      <w:vertAlign w:val="superscript"/>
    </w:rPr>
  </w:style>
  <w:style w:type="paragraph" w:customStyle="1" w:styleId="Default">
    <w:name w:val="Default"/>
    <w:rsid w:val="002F7B71"/>
    <w:pPr>
      <w:autoSpaceDE w:val="0"/>
      <w:autoSpaceDN w:val="0"/>
      <w:adjustRightInd w:val="0"/>
    </w:pPr>
    <w:rPr>
      <w:rFonts w:ascii="Times New Roman" w:hAnsi="Times New Roman"/>
      <w:color w:val="000000"/>
      <w:sz w:val="24"/>
      <w:szCs w:val="24"/>
    </w:rPr>
  </w:style>
  <w:style w:type="paragraph" w:styleId="Liststycke">
    <w:name w:val="List Paragraph"/>
    <w:basedOn w:val="Normal"/>
    <w:uiPriority w:val="34"/>
    <w:qFormat/>
    <w:rsid w:val="002F7B71"/>
    <w:pPr>
      <w:ind w:left="720"/>
      <w:contextualSpacing/>
    </w:pPr>
  </w:style>
  <w:style w:type="character" w:styleId="Kommentarsreferens">
    <w:name w:val="annotation reference"/>
    <w:basedOn w:val="Standardstycketeckensnitt"/>
    <w:uiPriority w:val="99"/>
    <w:semiHidden/>
    <w:unhideWhenUsed/>
    <w:rsid w:val="002F7B71"/>
    <w:rPr>
      <w:sz w:val="16"/>
      <w:szCs w:val="16"/>
    </w:rPr>
  </w:style>
  <w:style w:type="paragraph" w:styleId="Kommentarer">
    <w:name w:val="annotation text"/>
    <w:basedOn w:val="Normal"/>
    <w:link w:val="KommentarerChar"/>
    <w:uiPriority w:val="99"/>
    <w:unhideWhenUsed/>
    <w:rsid w:val="002F7B71"/>
    <w:pPr>
      <w:spacing w:line="240" w:lineRule="auto"/>
    </w:pPr>
    <w:rPr>
      <w:sz w:val="20"/>
    </w:rPr>
  </w:style>
  <w:style w:type="character" w:customStyle="1" w:styleId="KommentarerChar">
    <w:name w:val="Kommentarer Char"/>
    <w:basedOn w:val="Standardstycketeckensnitt"/>
    <w:link w:val="Kommentarer"/>
    <w:uiPriority w:val="99"/>
    <w:rsid w:val="002F7B71"/>
    <w:rPr>
      <w:rFonts w:ascii="Times New Roman" w:hAnsi="Times New Roman"/>
    </w:rPr>
  </w:style>
  <w:style w:type="paragraph" w:styleId="Kommentarsmne">
    <w:name w:val="annotation subject"/>
    <w:basedOn w:val="Kommentarer"/>
    <w:next w:val="Kommentarer"/>
    <w:link w:val="KommentarsmneChar"/>
    <w:uiPriority w:val="99"/>
    <w:semiHidden/>
    <w:unhideWhenUsed/>
    <w:rsid w:val="002F7B71"/>
    <w:rPr>
      <w:b/>
      <w:bCs/>
    </w:rPr>
  </w:style>
  <w:style w:type="character" w:customStyle="1" w:styleId="KommentarsmneChar">
    <w:name w:val="Kommentarsämne Char"/>
    <w:basedOn w:val="KommentarerChar"/>
    <w:link w:val="Kommentarsmne"/>
    <w:uiPriority w:val="99"/>
    <w:semiHidden/>
    <w:rsid w:val="002F7B71"/>
    <w:rPr>
      <w:rFonts w:ascii="Times New Roman" w:hAnsi="Times New Roman"/>
      <w:b/>
      <w:bCs/>
    </w:rPr>
  </w:style>
  <w:style w:type="paragraph" w:styleId="Ballongtext">
    <w:name w:val="Balloon Text"/>
    <w:basedOn w:val="Normal"/>
    <w:link w:val="BallongtextChar"/>
    <w:uiPriority w:val="99"/>
    <w:semiHidden/>
    <w:unhideWhenUsed/>
    <w:rsid w:val="002F7B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7B71"/>
    <w:rPr>
      <w:rFonts w:ascii="Segoe UI" w:hAnsi="Segoe UI" w:cs="Segoe UI"/>
      <w:sz w:val="18"/>
      <w:szCs w:val="18"/>
    </w:rPr>
  </w:style>
  <w:style w:type="character" w:styleId="Hyperlnk">
    <w:name w:val="Hyperlink"/>
    <w:basedOn w:val="Standardstycketeckensnitt"/>
    <w:uiPriority w:val="99"/>
    <w:unhideWhenUsed/>
    <w:rsid w:val="00C27ED2"/>
    <w:rPr>
      <w:color w:val="0000FF" w:themeColor="hyperlink"/>
      <w:u w:val="single"/>
    </w:rPr>
  </w:style>
  <w:style w:type="character" w:customStyle="1" w:styleId="Rubrik2Char">
    <w:name w:val="Rubrik 2 Char"/>
    <w:basedOn w:val="Standardstycketeckensnitt"/>
    <w:link w:val="Rubrik2"/>
    <w:rsid w:val="00C53525"/>
    <w:rPr>
      <w:rFonts w:ascii="Arial" w:hAnsi="Arial"/>
      <w:sz w:val="30"/>
    </w:rPr>
  </w:style>
  <w:style w:type="character" w:customStyle="1" w:styleId="Rubrik3Char">
    <w:name w:val="Rubrik 3 Char"/>
    <w:basedOn w:val="Standardstycketeckensnitt"/>
    <w:link w:val="Rubrik3"/>
    <w:rsid w:val="00C53525"/>
    <w:rPr>
      <w:rFonts w:ascii="Arial" w:hAnsi="Arial"/>
      <w:b/>
      <w:sz w:val="24"/>
    </w:rPr>
  </w:style>
  <w:style w:type="paragraph" w:styleId="Revision">
    <w:name w:val="Revision"/>
    <w:hidden/>
    <w:uiPriority w:val="99"/>
    <w:semiHidden/>
    <w:rsid w:val="00AC05D2"/>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1491">
      <w:bodyDiv w:val="1"/>
      <w:marLeft w:val="0"/>
      <w:marRight w:val="0"/>
      <w:marTop w:val="0"/>
      <w:marBottom w:val="0"/>
      <w:divBdr>
        <w:top w:val="none" w:sz="0" w:space="0" w:color="auto"/>
        <w:left w:val="none" w:sz="0" w:space="0" w:color="auto"/>
        <w:bottom w:val="none" w:sz="0" w:space="0" w:color="auto"/>
        <w:right w:val="none" w:sz="0" w:space="0" w:color="auto"/>
      </w:divBdr>
    </w:div>
    <w:div w:id="325863739">
      <w:bodyDiv w:val="1"/>
      <w:marLeft w:val="0"/>
      <w:marRight w:val="0"/>
      <w:marTop w:val="0"/>
      <w:marBottom w:val="0"/>
      <w:divBdr>
        <w:top w:val="none" w:sz="0" w:space="0" w:color="auto"/>
        <w:left w:val="none" w:sz="0" w:space="0" w:color="auto"/>
        <w:bottom w:val="none" w:sz="0" w:space="0" w:color="auto"/>
        <w:right w:val="none" w:sz="0" w:space="0" w:color="auto"/>
      </w:divBdr>
    </w:div>
    <w:div w:id="353963706">
      <w:bodyDiv w:val="1"/>
      <w:marLeft w:val="0"/>
      <w:marRight w:val="0"/>
      <w:marTop w:val="0"/>
      <w:marBottom w:val="0"/>
      <w:divBdr>
        <w:top w:val="none" w:sz="0" w:space="0" w:color="auto"/>
        <w:left w:val="none" w:sz="0" w:space="0" w:color="auto"/>
        <w:bottom w:val="none" w:sz="0" w:space="0" w:color="auto"/>
        <w:right w:val="none" w:sz="0" w:space="0" w:color="auto"/>
      </w:divBdr>
    </w:div>
    <w:div w:id="1539853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nder.uu.se" TargetMode="External"/><Relationship Id="rId4" Type="http://schemas.openxmlformats.org/officeDocument/2006/relationships/settings" Target="settings.xml"/><Relationship Id="rId9" Type="http://schemas.openxmlformats.org/officeDocument/2006/relationships/hyperlink" Target="http://www.u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30499\AppData\Local\Temp\155652_2010rappor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92D9-8F13-4A3D-8D99-2CD6C97C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155652_2010rapportmall.dotx</Template>
  <TotalTime>0</TotalTime>
  <Pages>10</Pages>
  <Words>3980</Words>
  <Characters>21100</Characters>
  <Application>Microsoft Office Word</Application>
  <DocSecurity>0</DocSecurity>
  <Lines>175</Lines>
  <Paragraphs>50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Uppsala universitet</Company>
  <LinksUpToDate>false</LinksUpToDate>
  <CharactersWithSpaces>25030</CharactersWithSpaces>
  <SharedDoc>false</SharedDoc>
  <HLinks>
    <vt:vector size="6" baseType="variant">
      <vt:variant>
        <vt:i4>4653148</vt:i4>
      </vt:variant>
      <vt:variant>
        <vt:i4>-1</vt:i4>
      </vt:variant>
      <vt:variant>
        <vt:i4>2050</vt:i4>
      </vt:variant>
      <vt:variant>
        <vt:i4>1</vt:i4>
      </vt:variant>
      <vt:variant>
        <vt:lpwstr>UU_logo_pc_sv_42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Lilja Visén</dc:creator>
  <dc:description>Konverterade rakt av från universitetets Office 2003-dokument till Office 2010-mall</dc:description>
  <cp:lastModifiedBy>Joelin Quigley Berg</cp:lastModifiedBy>
  <cp:revision>2</cp:revision>
  <cp:lastPrinted>2005-07-15T12:58:00Z</cp:lastPrinted>
  <dcterms:created xsi:type="dcterms:W3CDTF">2023-06-01T14:27:00Z</dcterms:created>
  <dcterms:modified xsi:type="dcterms:W3CDTF">2023-06-01T14:27:00Z</dcterms:modified>
</cp:coreProperties>
</file>